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C31B9" w14:textId="446511D1" w:rsidR="003C23E7" w:rsidRPr="00C77190" w:rsidRDefault="003C23E7" w:rsidP="00512FF3">
      <w:pPr>
        <w:pStyle w:val="Heading3"/>
        <w:rPr>
          <w:kern w:val="16"/>
        </w:rPr>
      </w:pPr>
      <w:bookmarkStart w:id="0" w:name="_Toc36644066"/>
      <w:bookmarkStart w:id="1" w:name="_Toc29890869"/>
      <w:bookmarkStart w:id="2" w:name="_Toc29887094"/>
      <w:bookmarkStart w:id="3" w:name="_Toc69982209"/>
      <w:bookmarkStart w:id="4" w:name="_Toc123908408"/>
      <w:bookmarkStart w:id="5" w:name="_Toc123908413"/>
      <w:bookmarkStart w:id="6" w:name="_Toc138853302"/>
      <w:r w:rsidRPr="00C77190">
        <w:rPr>
          <w:noProof/>
          <w:kern w:val="16"/>
          <w:lang w:bidi="ar-SA"/>
        </w:rPr>
        <w:drawing>
          <wp:inline distT="0" distB="0" distL="0" distR="0" wp14:anchorId="70FD1AAC" wp14:editId="38F52F52">
            <wp:extent cx="4259749" cy="464024"/>
            <wp:effectExtent l="0" t="0" r="0" b="0"/>
            <wp:docPr id="2" name="Picture 2" descr="State of Minnesot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Minnesota Logo&#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70455" cy="465190"/>
                    </a:xfrm>
                    <a:prstGeom prst="rect">
                      <a:avLst/>
                    </a:prstGeom>
                  </pic:spPr>
                </pic:pic>
              </a:graphicData>
            </a:graphic>
          </wp:inline>
        </w:drawing>
      </w:r>
      <w:bookmarkStart w:id="7" w:name="_Toc69982210"/>
      <w:bookmarkEnd w:id="0"/>
      <w:bookmarkEnd w:id="1"/>
      <w:bookmarkEnd w:id="2"/>
      <w:bookmarkEnd w:id="3"/>
      <w:bookmarkEnd w:id="4"/>
    </w:p>
    <w:bookmarkEnd w:id="7"/>
    <w:p w14:paraId="16EC5290" w14:textId="77777777" w:rsidR="003C23E7" w:rsidRPr="00C77190" w:rsidRDefault="003C23E7" w:rsidP="00512FF3">
      <w:pPr>
        <w:pStyle w:val="Title"/>
        <w:spacing w:before="720"/>
        <w:rPr>
          <w:kern w:val="16"/>
        </w:rPr>
      </w:pPr>
      <w:r w:rsidRPr="00C77190">
        <w:rPr>
          <w:kern w:val="16"/>
        </w:rPr>
        <w:t>Minnesota Rulemaking Manual</w:t>
      </w:r>
    </w:p>
    <w:p w14:paraId="33C65DFA" w14:textId="73E87473" w:rsidR="003C23E7" w:rsidRPr="00C77190" w:rsidRDefault="003C23E7" w:rsidP="00512FF3">
      <w:pPr>
        <w:pStyle w:val="Subtitle"/>
        <w:jc w:val="center"/>
        <w:rPr>
          <w:kern w:val="16"/>
        </w:rPr>
      </w:pPr>
      <w:r w:rsidRPr="00C77190">
        <w:rPr>
          <w:kern w:val="16"/>
        </w:rPr>
        <w:t>A REFERENCE BOOK FOR THE PRACTITIONER</w:t>
      </w:r>
    </w:p>
    <w:p w14:paraId="5C101756" w14:textId="77777777" w:rsidR="003C23E7" w:rsidRPr="00C77190" w:rsidRDefault="003C23E7" w:rsidP="003C23E7">
      <w:pPr>
        <w:pStyle w:val="Heading2"/>
        <w:jc w:val="right"/>
        <w:rPr>
          <w:b w:val="0"/>
          <w:bCs/>
          <w:kern w:val="16"/>
          <w:sz w:val="28"/>
          <w:szCs w:val="28"/>
        </w:rPr>
      </w:pPr>
      <w:bookmarkStart w:id="8" w:name="_Toc477437899"/>
      <w:r>
        <w:rPr>
          <w:b w:val="0"/>
          <w:bCs/>
          <w:kern w:val="16"/>
          <w:sz w:val="28"/>
          <w:szCs w:val="28"/>
        </w:rPr>
        <w:t>September 2024</w:t>
      </w:r>
    </w:p>
    <w:p w14:paraId="2D772171" w14:textId="1B7BE45A" w:rsidR="003C23E7" w:rsidRPr="00C77190" w:rsidRDefault="003C23E7" w:rsidP="00512FF3">
      <w:pPr>
        <w:spacing w:after="2000"/>
        <w:jc w:val="right"/>
        <w:rPr>
          <w:kern w:val="16"/>
        </w:rPr>
      </w:pPr>
      <w:bookmarkStart w:id="9" w:name="_Toc461105257"/>
      <w:bookmarkEnd w:id="8"/>
      <w:r>
        <w:rPr>
          <w:kern w:val="16"/>
        </w:rPr>
        <w:t>Editors: Andi Barker, Department of Transportation</w:t>
      </w:r>
      <w:r>
        <w:rPr>
          <w:kern w:val="16"/>
        </w:rPr>
        <w:br/>
        <w:t>Ian Lewenstein, Department of Corrections</w:t>
      </w:r>
      <w:r>
        <w:rPr>
          <w:kern w:val="16"/>
        </w:rPr>
        <w:br/>
        <w:t>Beth Carlson, Department of Natural Resources</w:t>
      </w:r>
    </w:p>
    <w:p w14:paraId="4E4AC571" w14:textId="77777777" w:rsidR="003C23E7" w:rsidRPr="00C77190" w:rsidRDefault="003C23E7" w:rsidP="003C23E7">
      <w:pPr>
        <w:spacing w:before="0"/>
        <w:jc w:val="right"/>
        <w:rPr>
          <w:kern w:val="16"/>
        </w:rPr>
      </w:pPr>
      <w:r>
        <w:rPr>
          <w:kern w:val="16"/>
        </w:rPr>
        <w:t>27</w:t>
      </w:r>
      <w:r w:rsidRPr="00C77190">
        <w:rPr>
          <w:kern w:val="16"/>
          <w:vertAlign w:val="superscript"/>
        </w:rPr>
        <w:t xml:space="preserve">th </w:t>
      </w:r>
      <w:r w:rsidRPr="00C77190">
        <w:rPr>
          <w:kern w:val="16"/>
        </w:rPr>
        <w:t>Edition</w:t>
      </w:r>
    </w:p>
    <w:p w14:paraId="25854E47" w14:textId="77777777" w:rsidR="003C23E7" w:rsidRPr="00C77190" w:rsidRDefault="00512FF3" w:rsidP="003C23E7">
      <w:pPr>
        <w:spacing w:before="0"/>
        <w:jc w:val="right"/>
        <w:rPr>
          <w:kern w:val="16"/>
        </w:rPr>
      </w:pPr>
      <w:hyperlink r:id="rId12" w:history="1">
        <w:r w:rsidR="003C23E7">
          <w:rPr>
            <w:rStyle w:val="Hyperlink"/>
            <w:rFonts w:eastAsiaTheme="majorEastAsia"/>
            <w:kern w:val="16"/>
          </w:rPr>
          <w:t>http://www.health.state.mn.us/data/rules/manual</w:t>
        </w:r>
      </w:hyperlink>
    </w:p>
    <w:p w14:paraId="7F5F57D5" w14:textId="77777777" w:rsidR="003C23E7" w:rsidRPr="00C77190" w:rsidRDefault="003C23E7" w:rsidP="00512FF3">
      <w:pPr>
        <w:jc w:val="right"/>
        <w:rPr>
          <w:i/>
          <w:iCs/>
          <w:kern w:val="16"/>
        </w:rPr>
        <w:sectPr w:rsidR="003C23E7" w:rsidRPr="00C77190" w:rsidSect="003C23E7">
          <w:footerReference w:type="default" r:id="rId13"/>
          <w:type w:val="continuous"/>
          <w:pgSz w:w="12240" w:h="15840" w:code="1"/>
          <w:pgMar w:top="4320" w:right="1080" w:bottom="1440" w:left="1080" w:header="0" w:footer="504" w:gutter="0"/>
          <w:cols w:space="720"/>
          <w:titlePg/>
          <w:docGrid w:linePitch="326"/>
        </w:sectPr>
      </w:pPr>
      <w:r w:rsidRPr="00C77190">
        <w:rPr>
          <w:i/>
          <w:iCs/>
          <w:kern w:val="16"/>
        </w:rPr>
        <w:t xml:space="preserve">To obtain this information in a different format, </w:t>
      </w:r>
      <w:r>
        <w:rPr>
          <w:i/>
          <w:iCs/>
          <w:kern w:val="16"/>
        </w:rPr>
        <w:t>contact health.generalcounsel@state.mn.us</w:t>
      </w:r>
    </w:p>
    <w:p w14:paraId="07B98DA1" w14:textId="77777777" w:rsidR="003C23E7" w:rsidRPr="00C77190" w:rsidRDefault="003C23E7" w:rsidP="003C23E7">
      <w:pPr>
        <w:pStyle w:val="Heading2"/>
        <w:spacing w:before="0"/>
        <w:rPr>
          <w:kern w:val="16"/>
        </w:rPr>
      </w:pPr>
      <w:bookmarkStart w:id="10" w:name="_Toc123908410"/>
      <w:bookmarkEnd w:id="9"/>
      <w:r w:rsidRPr="00C77190">
        <w:rPr>
          <w:kern w:val="16"/>
        </w:rPr>
        <w:lastRenderedPageBreak/>
        <w:t>Acknowledgments</w:t>
      </w:r>
      <w:bookmarkEnd w:id="10"/>
    </w:p>
    <w:p w14:paraId="747B07B7" w14:textId="77777777" w:rsidR="003C23E7" w:rsidRPr="00C77190" w:rsidRDefault="003C23E7" w:rsidP="003C23E7">
      <w:pPr>
        <w:pStyle w:val="BodyText"/>
        <w:rPr>
          <w:kern w:val="16"/>
        </w:rPr>
      </w:pPr>
      <w:r w:rsidRPr="00C77190">
        <w:rPr>
          <w:kern w:val="16"/>
        </w:rPr>
        <w:t xml:space="preserve">The Minnesota Rulemaking Manual represents the collective knowledge and wisdom of the Interagency Rules Committee, Minnesota’s rulemaking community. First published on June 17, 1996, the Manual has been edited frequently. Dave Orren (Department of Health) compiled the first edition and served as editor until 2006. Patricia Winget (Department of Health) served as editor from 2006 to 2020. Josh Skaar (Department of Health) served as editor from 2020 to 2022. A group of rule writers from the Interagency Rules Committee now assume the role. </w:t>
      </w:r>
    </w:p>
    <w:p w14:paraId="2EE3FA75" w14:textId="3D6061D1" w:rsidR="003C23E7" w:rsidRPr="00C77190" w:rsidRDefault="003C23E7" w:rsidP="003C23E7">
      <w:pPr>
        <w:pStyle w:val="BodyText"/>
        <w:spacing w:after="240"/>
        <w:rPr>
          <w:kern w:val="16"/>
        </w:rPr>
        <w:sectPr w:rsidR="003C23E7" w:rsidRPr="00C77190" w:rsidSect="003C23E7">
          <w:pgSz w:w="12240" w:h="15840"/>
          <w:pgMar w:top="1440" w:right="1080" w:bottom="1440" w:left="1080" w:header="720" w:footer="720" w:gutter="0"/>
          <w:cols w:space="720"/>
          <w:docGrid w:linePitch="360"/>
        </w:sectPr>
      </w:pPr>
      <w:r w:rsidRPr="00C77190">
        <w:rPr>
          <w:kern w:val="16"/>
        </w:rPr>
        <w:t xml:space="preserve">Without the contributions of the following people, this </w:t>
      </w:r>
      <w:r w:rsidR="00512FF3">
        <w:rPr>
          <w:kern w:val="16"/>
        </w:rPr>
        <w:t>m</w:t>
      </w:r>
      <w:r w:rsidRPr="00C77190">
        <w:rPr>
          <w:kern w:val="16"/>
        </w:rPr>
        <w:t xml:space="preserve">anual would not have been possible. A very special thank-you to all who have contributed over the years to its writing, review, updating, and production: </w:t>
      </w:r>
    </w:p>
    <w:p w14:paraId="7B0C2175" w14:textId="77777777" w:rsidR="003C23E7" w:rsidRPr="00C77190" w:rsidRDefault="003C23E7" w:rsidP="003C23E7">
      <w:pPr>
        <w:pStyle w:val="BodyText"/>
        <w:spacing w:before="0"/>
        <w:rPr>
          <w:kern w:val="16"/>
          <w:sz w:val="20"/>
          <w:szCs w:val="20"/>
        </w:rPr>
      </w:pPr>
      <w:r w:rsidRPr="00C77190">
        <w:rPr>
          <w:kern w:val="16"/>
          <w:sz w:val="20"/>
          <w:szCs w:val="20"/>
        </w:rPr>
        <w:t xml:space="preserve">Michelle Aguilar </w:t>
      </w:r>
    </w:p>
    <w:p w14:paraId="1B6C863C" w14:textId="77777777" w:rsidR="003C23E7" w:rsidRPr="00C77190" w:rsidRDefault="003C23E7" w:rsidP="003C23E7">
      <w:pPr>
        <w:pStyle w:val="BodyText"/>
        <w:spacing w:before="0"/>
        <w:rPr>
          <w:kern w:val="16"/>
          <w:sz w:val="20"/>
          <w:szCs w:val="20"/>
        </w:rPr>
      </w:pPr>
      <w:r w:rsidRPr="00C77190">
        <w:rPr>
          <w:kern w:val="16"/>
          <w:sz w:val="20"/>
          <w:szCs w:val="20"/>
        </w:rPr>
        <w:t xml:space="preserve">Catherine Anderson </w:t>
      </w:r>
    </w:p>
    <w:p w14:paraId="2D6661AC" w14:textId="77777777" w:rsidR="003C23E7" w:rsidRPr="00C77190" w:rsidRDefault="003C23E7" w:rsidP="003C23E7">
      <w:pPr>
        <w:pStyle w:val="BodyText"/>
        <w:spacing w:before="0"/>
        <w:rPr>
          <w:kern w:val="16"/>
          <w:sz w:val="20"/>
          <w:szCs w:val="20"/>
        </w:rPr>
      </w:pPr>
      <w:r w:rsidRPr="00C77190">
        <w:rPr>
          <w:kern w:val="16"/>
          <w:sz w:val="20"/>
          <w:szCs w:val="20"/>
        </w:rPr>
        <w:t xml:space="preserve">Andrea Barker </w:t>
      </w:r>
    </w:p>
    <w:p w14:paraId="4BBDCDF6" w14:textId="77777777" w:rsidR="003C23E7" w:rsidRPr="00C77190" w:rsidRDefault="003C23E7" w:rsidP="003C23E7">
      <w:pPr>
        <w:pStyle w:val="BodyText"/>
        <w:spacing w:before="0"/>
        <w:rPr>
          <w:kern w:val="16"/>
          <w:sz w:val="20"/>
          <w:szCs w:val="20"/>
        </w:rPr>
      </w:pPr>
      <w:r w:rsidRPr="00C77190">
        <w:rPr>
          <w:kern w:val="16"/>
          <w:sz w:val="20"/>
          <w:szCs w:val="20"/>
        </w:rPr>
        <w:t xml:space="preserve">Susan Barry </w:t>
      </w:r>
    </w:p>
    <w:p w14:paraId="4B934556" w14:textId="77777777" w:rsidR="003C23E7" w:rsidRPr="00C77190" w:rsidRDefault="003C23E7" w:rsidP="003C23E7">
      <w:pPr>
        <w:pStyle w:val="BodyText"/>
        <w:spacing w:before="0"/>
        <w:rPr>
          <w:kern w:val="16"/>
          <w:sz w:val="20"/>
          <w:szCs w:val="20"/>
        </w:rPr>
      </w:pPr>
      <w:r w:rsidRPr="00C77190">
        <w:rPr>
          <w:kern w:val="16"/>
          <w:sz w:val="20"/>
          <w:szCs w:val="20"/>
        </w:rPr>
        <w:t xml:space="preserve">Helen Bassett </w:t>
      </w:r>
    </w:p>
    <w:p w14:paraId="6BD7CE74" w14:textId="77777777" w:rsidR="003C23E7" w:rsidRPr="00C77190" w:rsidRDefault="003C23E7" w:rsidP="003C23E7">
      <w:pPr>
        <w:pStyle w:val="BodyText"/>
        <w:spacing w:before="0"/>
        <w:rPr>
          <w:kern w:val="16"/>
          <w:sz w:val="20"/>
          <w:szCs w:val="20"/>
        </w:rPr>
      </w:pPr>
      <w:r w:rsidRPr="00C77190">
        <w:rPr>
          <w:kern w:val="16"/>
          <w:sz w:val="20"/>
          <w:szCs w:val="20"/>
        </w:rPr>
        <w:t xml:space="preserve">Paula Bastian </w:t>
      </w:r>
    </w:p>
    <w:p w14:paraId="51182CA7" w14:textId="77777777" w:rsidR="003C23E7" w:rsidRPr="00C77190" w:rsidRDefault="003C23E7" w:rsidP="003C23E7">
      <w:pPr>
        <w:pStyle w:val="BodyText"/>
        <w:spacing w:before="0"/>
        <w:rPr>
          <w:kern w:val="16"/>
          <w:sz w:val="20"/>
          <w:szCs w:val="20"/>
        </w:rPr>
      </w:pPr>
      <w:r w:rsidRPr="00C77190">
        <w:rPr>
          <w:kern w:val="16"/>
          <w:sz w:val="20"/>
          <w:szCs w:val="20"/>
        </w:rPr>
        <w:t xml:space="preserve">ALJ George Beck </w:t>
      </w:r>
    </w:p>
    <w:p w14:paraId="2775EDE4" w14:textId="77777777" w:rsidR="003C23E7" w:rsidRPr="00C77190" w:rsidRDefault="003C23E7" w:rsidP="003C23E7">
      <w:pPr>
        <w:pStyle w:val="BodyText"/>
        <w:spacing w:before="0"/>
        <w:rPr>
          <w:kern w:val="16"/>
          <w:sz w:val="20"/>
          <w:szCs w:val="20"/>
        </w:rPr>
      </w:pPr>
      <w:r w:rsidRPr="00C77190">
        <w:rPr>
          <w:kern w:val="16"/>
          <w:sz w:val="20"/>
          <w:szCs w:val="20"/>
        </w:rPr>
        <w:t xml:space="preserve">Sharon </w:t>
      </w:r>
      <w:proofErr w:type="spellStart"/>
      <w:r w:rsidRPr="00C77190">
        <w:rPr>
          <w:kern w:val="16"/>
          <w:sz w:val="20"/>
          <w:szCs w:val="20"/>
        </w:rPr>
        <w:t>Beighley</w:t>
      </w:r>
      <w:proofErr w:type="spellEnd"/>
      <w:r w:rsidRPr="00C77190">
        <w:rPr>
          <w:kern w:val="16"/>
          <w:sz w:val="20"/>
          <w:szCs w:val="20"/>
        </w:rPr>
        <w:t xml:space="preserve"> </w:t>
      </w:r>
    </w:p>
    <w:p w14:paraId="72341AE4" w14:textId="77777777" w:rsidR="003C23E7" w:rsidRPr="00C77190" w:rsidRDefault="003C23E7" w:rsidP="003C23E7">
      <w:pPr>
        <w:pStyle w:val="BodyText"/>
        <w:spacing w:before="0"/>
        <w:rPr>
          <w:kern w:val="16"/>
          <w:sz w:val="20"/>
          <w:szCs w:val="20"/>
        </w:rPr>
      </w:pPr>
      <w:r w:rsidRPr="00C77190">
        <w:rPr>
          <w:kern w:val="16"/>
          <w:sz w:val="20"/>
          <w:szCs w:val="20"/>
        </w:rPr>
        <w:t xml:space="preserve">Andy </w:t>
      </w:r>
      <w:proofErr w:type="spellStart"/>
      <w:r w:rsidRPr="00C77190">
        <w:rPr>
          <w:kern w:val="16"/>
          <w:sz w:val="20"/>
          <w:szCs w:val="20"/>
        </w:rPr>
        <w:t>Beisner</w:t>
      </w:r>
      <w:proofErr w:type="spellEnd"/>
      <w:r w:rsidRPr="00C77190">
        <w:rPr>
          <w:kern w:val="16"/>
          <w:sz w:val="20"/>
          <w:szCs w:val="20"/>
        </w:rPr>
        <w:t xml:space="preserve"> </w:t>
      </w:r>
    </w:p>
    <w:p w14:paraId="53F89F94" w14:textId="77777777" w:rsidR="003C23E7" w:rsidRPr="00C77190" w:rsidRDefault="003C23E7" w:rsidP="003C23E7">
      <w:pPr>
        <w:pStyle w:val="BodyText"/>
        <w:spacing w:before="0"/>
        <w:rPr>
          <w:kern w:val="16"/>
          <w:sz w:val="20"/>
          <w:szCs w:val="20"/>
        </w:rPr>
      </w:pPr>
      <w:r w:rsidRPr="00C77190">
        <w:rPr>
          <w:kern w:val="16"/>
          <w:sz w:val="20"/>
          <w:szCs w:val="20"/>
        </w:rPr>
        <w:t xml:space="preserve">Joann </w:t>
      </w:r>
      <w:proofErr w:type="spellStart"/>
      <w:r w:rsidRPr="00C77190">
        <w:rPr>
          <w:kern w:val="16"/>
          <w:sz w:val="20"/>
          <w:szCs w:val="20"/>
        </w:rPr>
        <w:t>Benesh</w:t>
      </w:r>
      <w:proofErr w:type="spellEnd"/>
      <w:r w:rsidRPr="00C77190">
        <w:rPr>
          <w:kern w:val="16"/>
          <w:sz w:val="20"/>
          <w:szCs w:val="20"/>
        </w:rPr>
        <w:t xml:space="preserve"> </w:t>
      </w:r>
    </w:p>
    <w:p w14:paraId="040EC943" w14:textId="77777777" w:rsidR="003C23E7" w:rsidRPr="00C77190" w:rsidRDefault="003C23E7" w:rsidP="003C23E7">
      <w:pPr>
        <w:pStyle w:val="BodyText"/>
        <w:spacing w:before="0"/>
        <w:rPr>
          <w:kern w:val="16"/>
          <w:sz w:val="20"/>
          <w:szCs w:val="20"/>
        </w:rPr>
      </w:pPr>
      <w:r w:rsidRPr="00C77190">
        <w:rPr>
          <w:kern w:val="16"/>
          <w:sz w:val="20"/>
          <w:szCs w:val="20"/>
        </w:rPr>
        <w:t xml:space="preserve">Kate Berger </w:t>
      </w:r>
    </w:p>
    <w:p w14:paraId="464BB04F" w14:textId="77777777" w:rsidR="003C23E7" w:rsidRPr="00C77190" w:rsidRDefault="003C23E7" w:rsidP="003C23E7">
      <w:pPr>
        <w:pStyle w:val="BodyText"/>
        <w:spacing w:before="0"/>
        <w:rPr>
          <w:kern w:val="16"/>
          <w:sz w:val="20"/>
          <w:szCs w:val="20"/>
        </w:rPr>
      </w:pPr>
      <w:r w:rsidRPr="00C77190">
        <w:rPr>
          <w:kern w:val="16"/>
          <w:sz w:val="20"/>
          <w:szCs w:val="20"/>
        </w:rPr>
        <w:t>Mary Bjornberg</w:t>
      </w:r>
    </w:p>
    <w:p w14:paraId="60B79D8A" w14:textId="77777777" w:rsidR="003C23E7" w:rsidRPr="00C77190" w:rsidRDefault="003C23E7" w:rsidP="003C23E7">
      <w:pPr>
        <w:pStyle w:val="BodyText"/>
        <w:spacing w:before="0"/>
        <w:rPr>
          <w:kern w:val="16"/>
          <w:sz w:val="20"/>
          <w:szCs w:val="20"/>
        </w:rPr>
      </w:pPr>
      <w:r w:rsidRPr="00C77190">
        <w:rPr>
          <w:kern w:val="16"/>
          <w:sz w:val="20"/>
          <w:szCs w:val="20"/>
        </w:rPr>
        <w:t xml:space="preserve">Bibi Black </w:t>
      </w:r>
    </w:p>
    <w:p w14:paraId="7F23A4F9" w14:textId="77777777" w:rsidR="003C23E7" w:rsidRPr="00C77190" w:rsidRDefault="003C23E7" w:rsidP="003C23E7">
      <w:pPr>
        <w:pStyle w:val="BodyText"/>
        <w:spacing w:before="0"/>
        <w:rPr>
          <w:kern w:val="16"/>
          <w:sz w:val="20"/>
          <w:szCs w:val="20"/>
        </w:rPr>
      </w:pPr>
      <w:r w:rsidRPr="00C77190">
        <w:rPr>
          <w:kern w:val="16"/>
          <w:sz w:val="20"/>
          <w:szCs w:val="20"/>
        </w:rPr>
        <w:t xml:space="preserve">Mary Blackstock </w:t>
      </w:r>
    </w:p>
    <w:p w14:paraId="157CEF9A" w14:textId="77777777" w:rsidR="003C23E7" w:rsidRPr="00C77190" w:rsidRDefault="003C23E7" w:rsidP="003C23E7">
      <w:pPr>
        <w:pStyle w:val="BodyText"/>
        <w:spacing w:before="0"/>
        <w:rPr>
          <w:kern w:val="16"/>
          <w:sz w:val="20"/>
          <w:szCs w:val="20"/>
        </w:rPr>
      </w:pPr>
      <w:r w:rsidRPr="00C77190">
        <w:rPr>
          <w:kern w:val="16"/>
          <w:sz w:val="20"/>
          <w:szCs w:val="20"/>
        </w:rPr>
        <w:t xml:space="preserve">Sally </w:t>
      </w:r>
      <w:proofErr w:type="spellStart"/>
      <w:r w:rsidRPr="00C77190">
        <w:rPr>
          <w:kern w:val="16"/>
          <w:sz w:val="20"/>
          <w:szCs w:val="20"/>
        </w:rPr>
        <w:t>Bushhouse</w:t>
      </w:r>
      <w:proofErr w:type="spellEnd"/>
      <w:r w:rsidRPr="00C77190">
        <w:rPr>
          <w:kern w:val="16"/>
          <w:sz w:val="20"/>
          <w:szCs w:val="20"/>
        </w:rPr>
        <w:t xml:space="preserve"> </w:t>
      </w:r>
    </w:p>
    <w:p w14:paraId="7500A642" w14:textId="77777777" w:rsidR="003C23E7" w:rsidRPr="00C77190" w:rsidRDefault="003C23E7" w:rsidP="003C23E7">
      <w:pPr>
        <w:pStyle w:val="BodyText"/>
        <w:spacing w:before="0"/>
        <w:rPr>
          <w:kern w:val="16"/>
          <w:sz w:val="20"/>
          <w:szCs w:val="20"/>
        </w:rPr>
      </w:pPr>
      <w:r w:rsidRPr="00C77190">
        <w:rPr>
          <w:kern w:val="16"/>
          <w:sz w:val="20"/>
          <w:szCs w:val="20"/>
        </w:rPr>
        <w:t xml:space="preserve">Beth Carlson </w:t>
      </w:r>
    </w:p>
    <w:p w14:paraId="34F71E79" w14:textId="77777777" w:rsidR="003C23E7" w:rsidRPr="00C77190" w:rsidRDefault="003C23E7" w:rsidP="003C23E7">
      <w:pPr>
        <w:pStyle w:val="BodyText"/>
        <w:spacing w:before="0"/>
        <w:rPr>
          <w:kern w:val="16"/>
          <w:sz w:val="20"/>
          <w:szCs w:val="20"/>
        </w:rPr>
      </w:pPr>
      <w:r w:rsidRPr="00C77190">
        <w:rPr>
          <w:kern w:val="16"/>
          <w:sz w:val="20"/>
          <w:szCs w:val="20"/>
        </w:rPr>
        <w:t xml:space="preserve">Jacquie Cavanagh </w:t>
      </w:r>
    </w:p>
    <w:p w14:paraId="0758E266" w14:textId="77777777" w:rsidR="003C23E7" w:rsidRPr="00C77190" w:rsidRDefault="003C23E7" w:rsidP="003C23E7">
      <w:pPr>
        <w:pStyle w:val="BodyText"/>
        <w:spacing w:before="0"/>
        <w:rPr>
          <w:kern w:val="16"/>
          <w:sz w:val="20"/>
          <w:szCs w:val="20"/>
        </w:rPr>
      </w:pPr>
      <w:r w:rsidRPr="00C77190">
        <w:rPr>
          <w:kern w:val="16"/>
          <w:sz w:val="20"/>
          <w:szCs w:val="20"/>
        </w:rPr>
        <w:t xml:space="preserve">Stacie Christensen </w:t>
      </w:r>
    </w:p>
    <w:p w14:paraId="77F21FBE" w14:textId="77777777" w:rsidR="003C23E7" w:rsidRPr="00C77190" w:rsidRDefault="003C23E7" w:rsidP="003C23E7">
      <w:pPr>
        <w:pStyle w:val="BodyText"/>
        <w:spacing w:before="0"/>
        <w:rPr>
          <w:kern w:val="16"/>
          <w:sz w:val="20"/>
          <w:szCs w:val="20"/>
        </w:rPr>
      </w:pPr>
      <w:r w:rsidRPr="00C77190">
        <w:rPr>
          <w:kern w:val="16"/>
          <w:sz w:val="20"/>
          <w:szCs w:val="20"/>
        </w:rPr>
        <w:t xml:space="preserve">Norma Coleman </w:t>
      </w:r>
    </w:p>
    <w:p w14:paraId="1EB8C12C" w14:textId="77777777" w:rsidR="003C23E7" w:rsidRPr="00C77190" w:rsidRDefault="003C23E7" w:rsidP="003C23E7">
      <w:pPr>
        <w:pStyle w:val="BodyText"/>
        <w:spacing w:before="0"/>
        <w:rPr>
          <w:kern w:val="16"/>
          <w:sz w:val="20"/>
          <w:szCs w:val="20"/>
        </w:rPr>
      </w:pPr>
      <w:r w:rsidRPr="00C77190">
        <w:rPr>
          <w:kern w:val="16"/>
          <w:sz w:val="20"/>
          <w:szCs w:val="20"/>
        </w:rPr>
        <w:t xml:space="preserve">Lorraine </w:t>
      </w:r>
      <w:proofErr w:type="spellStart"/>
      <w:r w:rsidRPr="00C77190">
        <w:rPr>
          <w:kern w:val="16"/>
          <w:sz w:val="20"/>
          <w:szCs w:val="20"/>
        </w:rPr>
        <w:t>Colford</w:t>
      </w:r>
      <w:proofErr w:type="spellEnd"/>
      <w:r w:rsidRPr="00C77190">
        <w:rPr>
          <w:kern w:val="16"/>
          <w:sz w:val="20"/>
          <w:szCs w:val="20"/>
        </w:rPr>
        <w:t xml:space="preserve"> </w:t>
      </w:r>
    </w:p>
    <w:p w14:paraId="30D78648" w14:textId="77777777" w:rsidR="003C23E7" w:rsidRPr="00C77190" w:rsidRDefault="003C23E7" w:rsidP="003C23E7">
      <w:pPr>
        <w:pStyle w:val="BodyText"/>
        <w:spacing w:before="0"/>
        <w:rPr>
          <w:kern w:val="16"/>
          <w:sz w:val="20"/>
          <w:szCs w:val="20"/>
        </w:rPr>
      </w:pPr>
      <w:r w:rsidRPr="00C77190">
        <w:rPr>
          <w:kern w:val="16"/>
          <w:sz w:val="20"/>
          <w:szCs w:val="20"/>
        </w:rPr>
        <w:t xml:space="preserve">Denise Collins </w:t>
      </w:r>
    </w:p>
    <w:p w14:paraId="57475511" w14:textId="77777777" w:rsidR="003C23E7" w:rsidRPr="00C77190" w:rsidRDefault="003C23E7" w:rsidP="003C23E7">
      <w:pPr>
        <w:pStyle w:val="BodyText"/>
        <w:spacing w:before="0"/>
        <w:rPr>
          <w:kern w:val="16"/>
          <w:sz w:val="20"/>
          <w:szCs w:val="20"/>
        </w:rPr>
      </w:pPr>
      <w:r w:rsidRPr="00C77190">
        <w:rPr>
          <w:kern w:val="16"/>
          <w:sz w:val="20"/>
          <w:szCs w:val="20"/>
        </w:rPr>
        <w:t xml:space="preserve">Rick Cool </w:t>
      </w:r>
    </w:p>
    <w:p w14:paraId="66975001" w14:textId="77777777" w:rsidR="003C23E7" w:rsidRPr="00C77190" w:rsidRDefault="003C23E7" w:rsidP="003C23E7">
      <w:pPr>
        <w:pStyle w:val="BodyText"/>
        <w:spacing w:before="0"/>
        <w:rPr>
          <w:kern w:val="16"/>
          <w:sz w:val="20"/>
          <w:szCs w:val="20"/>
        </w:rPr>
      </w:pPr>
      <w:r w:rsidRPr="00C77190">
        <w:rPr>
          <w:kern w:val="16"/>
          <w:sz w:val="20"/>
          <w:szCs w:val="20"/>
        </w:rPr>
        <w:t xml:space="preserve">Nathan Cooley </w:t>
      </w:r>
    </w:p>
    <w:p w14:paraId="55E5269B" w14:textId="77777777" w:rsidR="003C23E7" w:rsidRPr="00C77190" w:rsidRDefault="003C23E7" w:rsidP="003C23E7">
      <w:pPr>
        <w:pStyle w:val="BodyText"/>
        <w:spacing w:before="0"/>
        <w:rPr>
          <w:kern w:val="16"/>
          <w:sz w:val="20"/>
          <w:szCs w:val="20"/>
        </w:rPr>
      </w:pPr>
      <w:r w:rsidRPr="00C77190">
        <w:rPr>
          <w:kern w:val="16"/>
          <w:sz w:val="20"/>
          <w:szCs w:val="20"/>
        </w:rPr>
        <w:t xml:space="preserve">Jamie Cullen </w:t>
      </w:r>
    </w:p>
    <w:p w14:paraId="5306E5E5" w14:textId="77777777" w:rsidR="003C23E7" w:rsidRPr="00C77190" w:rsidRDefault="003C23E7" w:rsidP="003C23E7">
      <w:pPr>
        <w:pStyle w:val="BodyText"/>
        <w:spacing w:before="0"/>
        <w:rPr>
          <w:kern w:val="16"/>
          <w:sz w:val="20"/>
          <w:szCs w:val="20"/>
        </w:rPr>
      </w:pPr>
      <w:r w:rsidRPr="00C77190">
        <w:rPr>
          <w:kern w:val="16"/>
          <w:sz w:val="20"/>
          <w:szCs w:val="20"/>
        </w:rPr>
        <w:t xml:space="preserve">Rita Desmond </w:t>
      </w:r>
    </w:p>
    <w:p w14:paraId="4AAE5703" w14:textId="77777777" w:rsidR="003C23E7" w:rsidRPr="00C77190" w:rsidRDefault="003C23E7" w:rsidP="003C23E7">
      <w:pPr>
        <w:pStyle w:val="BodyText"/>
        <w:spacing w:before="0"/>
        <w:rPr>
          <w:kern w:val="16"/>
          <w:sz w:val="20"/>
          <w:szCs w:val="20"/>
        </w:rPr>
      </w:pPr>
      <w:r w:rsidRPr="00C77190">
        <w:rPr>
          <w:kern w:val="16"/>
          <w:sz w:val="20"/>
          <w:szCs w:val="20"/>
        </w:rPr>
        <w:t xml:space="preserve">Kate Carlucci </w:t>
      </w:r>
    </w:p>
    <w:p w14:paraId="1D4CD93F" w14:textId="77777777" w:rsidR="003C23E7" w:rsidRPr="00C77190" w:rsidRDefault="003C23E7" w:rsidP="003C23E7">
      <w:pPr>
        <w:pStyle w:val="BodyText"/>
        <w:spacing w:before="0"/>
        <w:rPr>
          <w:kern w:val="16"/>
          <w:sz w:val="20"/>
          <w:szCs w:val="20"/>
        </w:rPr>
      </w:pPr>
      <w:r w:rsidRPr="00C77190">
        <w:rPr>
          <w:kern w:val="16"/>
          <w:sz w:val="20"/>
          <w:szCs w:val="20"/>
        </w:rPr>
        <w:t xml:space="preserve">Jeanne Eggleston </w:t>
      </w:r>
    </w:p>
    <w:p w14:paraId="2837007C" w14:textId="77777777" w:rsidR="003C23E7" w:rsidRPr="00C77190" w:rsidRDefault="003C23E7" w:rsidP="003C23E7">
      <w:pPr>
        <w:pStyle w:val="BodyText"/>
        <w:spacing w:before="0"/>
        <w:rPr>
          <w:kern w:val="16"/>
          <w:sz w:val="20"/>
          <w:szCs w:val="20"/>
        </w:rPr>
      </w:pPr>
      <w:r w:rsidRPr="00C77190">
        <w:rPr>
          <w:kern w:val="16"/>
          <w:sz w:val="20"/>
          <w:szCs w:val="20"/>
        </w:rPr>
        <w:t xml:space="preserve">Kerstin Forsythe </w:t>
      </w:r>
    </w:p>
    <w:p w14:paraId="611A4A2B" w14:textId="77777777" w:rsidR="003C23E7" w:rsidRPr="00C77190" w:rsidRDefault="003C23E7" w:rsidP="003C23E7">
      <w:pPr>
        <w:pStyle w:val="BodyText"/>
        <w:spacing w:before="0"/>
        <w:rPr>
          <w:kern w:val="16"/>
          <w:sz w:val="20"/>
          <w:szCs w:val="20"/>
        </w:rPr>
      </w:pPr>
      <w:r w:rsidRPr="00C77190">
        <w:rPr>
          <w:kern w:val="16"/>
          <w:sz w:val="20"/>
          <w:szCs w:val="20"/>
        </w:rPr>
        <w:t>Jill Freudenwald</w:t>
      </w:r>
    </w:p>
    <w:p w14:paraId="489C4B82" w14:textId="77777777" w:rsidR="003C23E7" w:rsidRPr="00C77190" w:rsidRDefault="003C23E7" w:rsidP="003C23E7">
      <w:pPr>
        <w:pStyle w:val="BodyText"/>
        <w:spacing w:before="0"/>
        <w:rPr>
          <w:kern w:val="16"/>
          <w:sz w:val="20"/>
          <w:szCs w:val="20"/>
        </w:rPr>
      </w:pPr>
      <w:r w:rsidRPr="00C77190">
        <w:rPr>
          <w:kern w:val="16"/>
          <w:sz w:val="20"/>
          <w:szCs w:val="20"/>
        </w:rPr>
        <w:t xml:space="preserve">Megan </w:t>
      </w:r>
      <w:proofErr w:type="spellStart"/>
      <w:r w:rsidRPr="00C77190">
        <w:rPr>
          <w:kern w:val="16"/>
          <w:sz w:val="20"/>
          <w:szCs w:val="20"/>
        </w:rPr>
        <w:t>Gaudette</w:t>
      </w:r>
      <w:proofErr w:type="spellEnd"/>
      <w:r w:rsidRPr="00C77190">
        <w:rPr>
          <w:kern w:val="16"/>
          <w:sz w:val="20"/>
          <w:szCs w:val="20"/>
        </w:rPr>
        <w:t xml:space="preserve"> </w:t>
      </w:r>
    </w:p>
    <w:p w14:paraId="2F0985AE" w14:textId="77777777" w:rsidR="003C23E7" w:rsidRPr="00C77190" w:rsidRDefault="003C23E7" w:rsidP="003C23E7">
      <w:pPr>
        <w:pStyle w:val="BodyText"/>
        <w:spacing w:before="0"/>
        <w:rPr>
          <w:kern w:val="16"/>
          <w:sz w:val="20"/>
          <w:szCs w:val="20"/>
        </w:rPr>
      </w:pPr>
      <w:r w:rsidRPr="00C77190">
        <w:rPr>
          <w:kern w:val="16"/>
          <w:sz w:val="20"/>
          <w:szCs w:val="20"/>
        </w:rPr>
        <w:t xml:space="preserve">Linda Geier </w:t>
      </w:r>
    </w:p>
    <w:p w14:paraId="1B5A3AAE" w14:textId="77777777" w:rsidR="003C23E7" w:rsidRPr="00C77190" w:rsidRDefault="003C23E7" w:rsidP="003C23E7">
      <w:pPr>
        <w:pStyle w:val="BodyText"/>
        <w:spacing w:before="0"/>
        <w:rPr>
          <w:kern w:val="16"/>
          <w:sz w:val="20"/>
          <w:szCs w:val="20"/>
        </w:rPr>
      </w:pPr>
      <w:r w:rsidRPr="00C77190">
        <w:rPr>
          <w:kern w:val="16"/>
          <w:sz w:val="20"/>
          <w:szCs w:val="20"/>
        </w:rPr>
        <w:t xml:space="preserve">Jonathan Hendricks </w:t>
      </w:r>
    </w:p>
    <w:p w14:paraId="6F89F036" w14:textId="77777777" w:rsidR="003C23E7" w:rsidRPr="00C77190" w:rsidRDefault="003C23E7" w:rsidP="003C23E7">
      <w:pPr>
        <w:pStyle w:val="BodyText"/>
        <w:spacing w:before="0"/>
        <w:rPr>
          <w:kern w:val="16"/>
          <w:sz w:val="20"/>
          <w:szCs w:val="20"/>
        </w:rPr>
      </w:pPr>
      <w:r w:rsidRPr="00C77190">
        <w:rPr>
          <w:kern w:val="16"/>
          <w:sz w:val="20"/>
          <w:szCs w:val="20"/>
        </w:rPr>
        <w:t xml:space="preserve">Pat </w:t>
      </w:r>
      <w:proofErr w:type="spellStart"/>
      <w:r w:rsidRPr="00C77190">
        <w:rPr>
          <w:kern w:val="16"/>
          <w:sz w:val="20"/>
          <w:szCs w:val="20"/>
        </w:rPr>
        <w:t>Glasrud</w:t>
      </w:r>
      <w:proofErr w:type="spellEnd"/>
      <w:r w:rsidRPr="00C77190">
        <w:rPr>
          <w:kern w:val="16"/>
          <w:sz w:val="20"/>
          <w:szCs w:val="20"/>
        </w:rPr>
        <w:t xml:space="preserve"> </w:t>
      </w:r>
    </w:p>
    <w:p w14:paraId="19D14101" w14:textId="77777777" w:rsidR="003C23E7" w:rsidRPr="00C77190" w:rsidRDefault="003C23E7" w:rsidP="003C23E7">
      <w:pPr>
        <w:pStyle w:val="BodyText"/>
        <w:spacing w:before="0"/>
        <w:rPr>
          <w:kern w:val="16"/>
          <w:sz w:val="20"/>
          <w:szCs w:val="20"/>
        </w:rPr>
      </w:pPr>
      <w:r w:rsidRPr="00C77190">
        <w:rPr>
          <w:kern w:val="16"/>
          <w:sz w:val="20"/>
          <w:szCs w:val="20"/>
        </w:rPr>
        <w:t xml:space="preserve">MaryBeth </w:t>
      </w:r>
      <w:proofErr w:type="spellStart"/>
      <w:r w:rsidRPr="00C77190">
        <w:rPr>
          <w:kern w:val="16"/>
          <w:sz w:val="20"/>
          <w:szCs w:val="20"/>
        </w:rPr>
        <w:t>Gossman</w:t>
      </w:r>
      <w:proofErr w:type="spellEnd"/>
      <w:r w:rsidRPr="00C77190">
        <w:rPr>
          <w:kern w:val="16"/>
          <w:sz w:val="20"/>
          <w:szCs w:val="20"/>
        </w:rPr>
        <w:t xml:space="preserve"> </w:t>
      </w:r>
    </w:p>
    <w:p w14:paraId="0BB780BC" w14:textId="77777777" w:rsidR="003C23E7" w:rsidRPr="00C77190" w:rsidRDefault="003C23E7" w:rsidP="003C23E7">
      <w:pPr>
        <w:pStyle w:val="BodyText"/>
        <w:spacing w:before="0"/>
        <w:rPr>
          <w:kern w:val="16"/>
          <w:sz w:val="20"/>
          <w:szCs w:val="20"/>
        </w:rPr>
      </w:pPr>
      <w:r w:rsidRPr="00C77190">
        <w:rPr>
          <w:kern w:val="16"/>
          <w:sz w:val="20"/>
          <w:szCs w:val="20"/>
        </w:rPr>
        <w:t xml:space="preserve">Kristine Hernandez Pierce </w:t>
      </w:r>
    </w:p>
    <w:p w14:paraId="19D256B5" w14:textId="77777777" w:rsidR="003C23E7" w:rsidRPr="00C77190" w:rsidRDefault="003C23E7" w:rsidP="003C23E7">
      <w:pPr>
        <w:pStyle w:val="BodyText"/>
        <w:spacing w:before="0"/>
        <w:rPr>
          <w:kern w:val="16"/>
          <w:sz w:val="20"/>
          <w:szCs w:val="20"/>
        </w:rPr>
      </w:pPr>
      <w:r w:rsidRPr="00C77190">
        <w:rPr>
          <w:kern w:val="16"/>
          <w:sz w:val="20"/>
          <w:szCs w:val="20"/>
        </w:rPr>
        <w:t>Kay Herzfeld</w:t>
      </w:r>
    </w:p>
    <w:p w14:paraId="35553040" w14:textId="77777777" w:rsidR="003C23E7" w:rsidRPr="00C77190" w:rsidRDefault="003C23E7" w:rsidP="003C23E7">
      <w:pPr>
        <w:pStyle w:val="BodyText"/>
        <w:spacing w:before="0"/>
        <w:rPr>
          <w:kern w:val="16"/>
          <w:sz w:val="20"/>
          <w:szCs w:val="20"/>
        </w:rPr>
      </w:pPr>
      <w:r w:rsidRPr="00C77190">
        <w:rPr>
          <w:kern w:val="16"/>
          <w:sz w:val="20"/>
          <w:szCs w:val="20"/>
        </w:rPr>
        <w:t xml:space="preserve">Jennifer </w:t>
      </w:r>
      <w:proofErr w:type="spellStart"/>
      <w:r w:rsidRPr="00C77190">
        <w:rPr>
          <w:kern w:val="16"/>
          <w:sz w:val="20"/>
          <w:szCs w:val="20"/>
        </w:rPr>
        <w:t>Holstad</w:t>
      </w:r>
      <w:proofErr w:type="spellEnd"/>
      <w:r w:rsidRPr="00C77190">
        <w:rPr>
          <w:kern w:val="16"/>
          <w:sz w:val="20"/>
          <w:szCs w:val="20"/>
        </w:rPr>
        <w:t xml:space="preserve"> </w:t>
      </w:r>
    </w:p>
    <w:p w14:paraId="2028E091" w14:textId="77777777" w:rsidR="003C23E7" w:rsidRPr="00C77190" w:rsidRDefault="003C23E7" w:rsidP="003C23E7">
      <w:pPr>
        <w:pStyle w:val="BodyText"/>
        <w:spacing w:before="0"/>
        <w:rPr>
          <w:kern w:val="16"/>
          <w:sz w:val="20"/>
          <w:szCs w:val="20"/>
        </w:rPr>
      </w:pPr>
      <w:r w:rsidRPr="00C77190">
        <w:rPr>
          <w:kern w:val="16"/>
          <w:sz w:val="20"/>
          <w:szCs w:val="20"/>
        </w:rPr>
        <w:t xml:space="preserve">Ryan Inman </w:t>
      </w:r>
    </w:p>
    <w:p w14:paraId="5B3BE1EE" w14:textId="77777777" w:rsidR="003C23E7" w:rsidRPr="00C77190" w:rsidRDefault="003C23E7" w:rsidP="003C23E7">
      <w:pPr>
        <w:pStyle w:val="BodyText"/>
        <w:spacing w:before="0"/>
        <w:rPr>
          <w:kern w:val="16"/>
          <w:sz w:val="20"/>
          <w:szCs w:val="20"/>
        </w:rPr>
      </w:pPr>
      <w:r w:rsidRPr="00C77190">
        <w:rPr>
          <w:kern w:val="16"/>
          <w:sz w:val="20"/>
          <w:szCs w:val="20"/>
        </w:rPr>
        <w:t xml:space="preserve">Gloria Johnson </w:t>
      </w:r>
    </w:p>
    <w:p w14:paraId="23575DB3" w14:textId="77777777" w:rsidR="003C23E7" w:rsidRPr="00C77190" w:rsidRDefault="003C23E7" w:rsidP="003C23E7">
      <w:pPr>
        <w:pStyle w:val="BodyText"/>
        <w:spacing w:before="0"/>
        <w:rPr>
          <w:kern w:val="16"/>
          <w:sz w:val="20"/>
          <w:szCs w:val="20"/>
        </w:rPr>
      </w:pPr>
      <w:r w:rsidRPr="00C77190">
        <w:rPr>
          <w:kern w:val="16"/>
          <w:sz w:val="20"/>
          <w:szCs w:val="20"/>
        </w:rPr>
        <w:t xml:space="preserve">Kate Kahlert </w:t>
      </w:r>
    </w:p>
    <w:p w14:paraId="69B267A1" w14:textId="77777777" w:rsidR="003C23E7" w:rsidRPr="00C77190" w:rsidRDefault="003C23E7" w:rsidP="003C23E7">
      <w:pPr>
        <w:pStyle w:val="BodyText"/>
        <w:spacing w:before="0"/>
        <w:rPr>
          <w:kern w:val="16"/>
          <w:sz w:val="20"/>
          <w:szCs w:val="20"/>
        </w:rPr>
      </w:pPr>
      <w:r w:rsidRPr="00C77190">
        <w:rPr>
          <w:kern w:val="16"/>
          <w:sz w:val="20"/>
          <w:szCs w:val="20"/>
        </w:rPr>
        <w:t xml:space="preserve">ALJ Allan Klein </w:t>
      </w:r>
    </w:p>
    <w:p w14:paraId="7C3E6FE4" w14:textId="77777777" w:rsidR="003C23E7" w:rsidRPr="00C77190" w:rsidRDefault="003C23E7" w:rsidP="003C23E7">
      <w:pPr>
        <w:pStyle w:val="BodyText"/>
        <w:spacing w:before="0"/>
        <w:rPr>
          <w:kern w:val="16"/>
          <w:sz w:val="20"/>
          <w:szCs w:val="20"/>
        </w:rPr>
      </w:pPr>
      <w:r w:rsidRPr="00C77190">
        <w:rPr>
          <w:kern w:val="16"/>
          <w:sz w:val="20"/>
          <w:szCs w:val="20"/>
        </w:rPr>
        <w:t xml:space="preserve">Robert </w:t>
      </w:r>
      <w:proofErr w:type="spellStart"/>
      <w:r w:rsidRPr="00C77190">
        <w:rPr>
          <w:kern w:val="16"/>
          <w:sz w:val="20"/>
          <w:szCs w:val="20"/>
        </w:rPr>
        <w:t>Klukas</w:t>
      </w:r>
      <w:proofErr w:type="spellEnd"/>
      <w:r w:rsidRPr="00C77190">
        <w:rPr>
          <w:kern w:val="16"/>
          <w:sz w:val="20"/>
          <w:szCs w:val="20"/>
        </w:rPr>
        <w:t xml:space="preserve"> </w:t>
      </w:r>
    </w:p>
    <w:p w14:paraId="025766F5" w14:textId="77777777" w:rsidR="003C23E7" w:rsidRPr="00C77190" w:rsidRDefault="003C23E7" w:rsidP="003C23E7">
      <w:pPr>
        <w:pStyle w:val="BodyText"/>
        <w:spacing w:before="0"/>
        <w:rPr>
          <w:kern w:val="16"/>
          <w:sz w:val="20"/>
          <w:szCs w:val="20"/>
        </w:rPr>
      </w:pPr>
      <w:r w:rsidRPr="00C77190">
        <w:rPr>
          <w:kern w:val="16"/>
          <w:sz w:val="20"/>
          <w:szCs w:val="20"/>
        </w:rPr>
        <w:t xml:space="preserve">Stephanie Krieg </w:t>
      </w:r>
    </w:p>
    <w:p w14:paraId="6E15727C" w14:textId="77777777" w:rsidR="003C23E7" w:rsidRPr="00C77190" w:rsidRDefault="003C23E7" w:rsidP="003C23E7">
      <w:pPr>
        <w:pStyle w:val="BodyText"/>
        <w:spacing w:before="0"/>
        <w:rPr>
          <w:kern w:val="16"/>
          <w:sz w:val="20"/>
          <w:szCs w:val="20"/>
        </w:rPr>
      </w:pPr>
      <w:r w:rsidRPr="00C77190">
        <w:rPr>
          <w:kern w:val="16"/>
          <w:sz w:val="20"/>
          <w:szCs w:val="20"/>
        </w:rPr>
        <w:t xml:space="preserve">Nancy LaPlante </w:t>
      </w:r>
    </w:p>
    <w:p w14:paraId="47D5E2B4" w14:textId="77777777" w:rsidR="003C23E7" w:rsidRDefault="003C23E7" w:rsidP="003C23E7">
      <w:pPr>
        <w:pStyle w:val="BodyText"/>
        <w:spacing w:before="0"/>
        <w:rPr>
          <w:kern w:val="16"/>
          <w:sz w:val="20"/>
          <w:szCs w:val="20"/>
        </w:rPr>
      </w:pPr>
      <w:r w:rsidRPr="00C77190">
        <w:rPr>
          <w:kern w:val="16"/>
          <w:sz w:val="20"/>
          <w:szCs w:val="20"/>
        </w:rPr>
        <w:t xml:space="preserve">Cristine Leavitt </w:t>
      </w:r>
    </w:p>
    <w:p w14:paraId="7366F445" w14:textId="77777777" w:rsidR="003C23E7" w:rsidRPr="00C77190" w:rsidRDefault="003C23E7" w:rsidP="003C23E7">
      <w:pPr>
        <w:pStyle w:val="BodyText"/>
        <w:spacing w:before="0"/>
        <w:rPr>
          <w:kern w:val="16"/>
          <w:sz w:val="20"/>
          <w:szCs w:val="20"/>
        </w:rPr>
      </w:pPr>
      <w:r>
        <w:rPr>
          <w:kern w:val="16"/>
          <w:sz w:val="20"/>
          <w:szCs w:val="20"/>
        </w:rPr>
        <w:t>Vong Lee</w:t>
      </w:r>
    </w:p>
    <w:p w14:paraId="4FB5F5F3" w14:textId="77777777" w:rsidR="003C23E7" w:rsidRPr="00C77190" w:rsidRDefault="003C23E7" w:rsidP="003C23E7">
      <w:pPr>
        <w:pStyle w:val="BodyText"/>
        <w:spacing w:before="0"/>
        <w:rPr>
          <w:kern w:val="16"/>
          <w:sz w:val="20"/>
          <w:szCs w:val="20"/>
        </w:rPr>
      </w:pPr>
      <w:r w:rsidRPr="00C77190">
        <w:rPr>
          <w:kern w:val="16"/>
          <w:sz w:val="20"/>
          <w:szCs w:val="20"/>
        </w:rPr>
        <w:t xml:space="preserve">Wendy </w:t>
      </w:r>
      <w:proofErr w:type="spellStart"/>
      <w:r w:rsidRPr="00C77190">
        <w:rPr>
          <w:kern w:val="16"/>
          <w:sz w:val="20"/>
          <w:szCs w:val="20"/>
        </w:rPr>
        <w:t>Legge</w:t>
      </w:r>
      <w:proofErr w:type="spellEnd"/>
      <w:r w:rsidRPr="00C77190">
        <w:rPr>
          <w:kern w:val="16"/>
          <w:sz w:val="20"/>
          <w:szCs w:val="20"/>
        </w:rPr>
        <w:t xml:space="preserve"> </w:t>
      </w:r>
    </w:p>
    <w:p w14:paraId="12A940EC" w14:textId="77777777" w:rsidR="003C23E7" w:rsidRPr="00C77190" w:rsidRDefault="003C23E7" w:rsidP="003C23E7">
      <w:pPr>
        <w:pStyle w:val="BodyText"/>
        <w:spacing w:before="0"/>
        <w:rPr>
          <w:kern w:val="16"/>
          <w:sz w:val="20"/>
          <w:szCs w:val="20"/>
        </w:rPr>
      </w:pPr>
      <w:r w:rsidRPr="00C77190">
        <w:rPr>
          <w:kern w:val="16"/>
          <w:sz w:val="20"/>
          <w:szCs w:val="20"/>
        </w:rPr>
        <w:t xml:space="preserve">Yolanda Letnes </w:t>
      </w:r>
    </w:p>
    <w:p w14:paraId="022C68D1" w14:textId="77777777" w:rsidR="003C23E7" w:rsidRPr="00C77190" w:rsidRDefault="003C23E7" w:rsidP="003C23E7">
      <w:pPr>
        <w:pStyle w:val="BodyText"/>
        <w:spacing w:before="0"/>
        <w:rPr>
          <w:kern w:val="16"/>
          <w:sz w:val="20"/>
          <w:szCs w:val="20"/>
        </w:rPr>
      </w:pPr>
      <w:r w:rsidRPr="00C77190">
        <w:rPr>
          <w:kern w:val="16"/>
          <w:sz w:val="20"/>
          <w:szCs w:val="20"/>
        </w:rPr>
        <w:t>Ian Lewenstein</w:t>
      </w:r>
    </w:p>
    <w:p w14:paraId="7CBDCD8C" w14:textId="77777777" w:rsidR="003C23E7" w:rsidRPr="00C77190" w:rsidRDefault="003C23E7" w:rsidP="003C23E7">
      <w:pPr>
        <w:pStyle w:val="BodyText"/>
        <w:spacing w:before="0"/>
        <w:rPr>
          <w:kern w:val="16"/>
          <w:sz w:val="20"/>
          <w:szCs w:val="20"/>
        </w:rPr>
      </w:pPr>
      <w:r w:rsidRPr="00C77190">
        <w:rPr>
          <w:kern w:val="16"/>
          <w:sz w:val="20"/>
          <w:szCs w:val="20"/>
        </w:rPr>
        <w:t xml:space="preserve">Kathy Lewis </w:t>
      </w:r>
    </w:p>
    <w:p w14:paraId="188379D6" w14:textId="77777777" w:rsidR="003C23E7" w:rsidRPr="00C77190" w:rsidRDefault="003C23E7" w:rsidP="003C23E7">
      <w:pPr>
        <w:pStyle w:val="BodyText"/>
        <w:spacing w:before="0"/>
        <w:rPr>
          <w:kern w:val="16"/>
          <w:sz w:val="20"/>
          <w:szCs w:val="20"/>
        </w:rPr>
      </w:pPr>
      <w:r w:rsidRPr="00C77190">
        <w:rPr>
          <w:kern w:val="16"/>
          <w:sz w:val="20"/>
          <w:szCs w:val="20"/>
        </w:rPr>
        <w:t xml:space="preserve">Katie Lin </w:t>
      </w:r>
    </w:p>
    <w:p w14:paraId="06E5C89C" w14:textId="77777777" w:rsidR="003C23E7" w:rsidRDefault="003C23E7" w:rsidP="003C23E7">
      <w:pPr>
        <w:pStyle w:val="BodyText"/>
        <w:spacing w:before="0"/>
        <w:rPr>
          <w:kern w:val="16"/>
          <w:sz w:val="20"/>
          <w:szCs w:val="20"/>
        </w:rPr>
      </w:pPr>
      <w:r w:rsidRPr="00C77190">
        <w:rPr>
          <w:kern w:val="16"/>
          <w:sz w:val="20"/>
          <w:szCs w:val="20"/>
        </w:rPr>
        <w:t>Maria Lindstrom</w:t>
      </w:r>
    </w:p>
    <w:p w14:paraId="384DAF30" w14:textId="77777777" w:rsidR="003C23E7" w:rsidRPr="00C77190" w:rsidRDefault="003C23E7" w:rsidP="003C23E7">
      <w:pPr>
        <w:pStyle w:val="BodyText"/>
        <w:spacing w:before="0"/>
        <w:rPr>
          <w:kern w:val="16"/>
          <w:sz w:val="20"/>
          <w:szCs w:val="20"/>
        </w:rPr>
      </w:pPr>
      <w:r>
        <w:rPr>
          <w:kern w:val="16"/>
          <w:sz w:val="20"/>
          <w:szCs w:val="20"/>
        </w:rPr>
        <w:t>Mary Lynn</w:t>
      </w:r>
      <w:r w:rsidRPr="00C77190">
        <w:rPr>
          <w:kern w:val="16"/>
          <w:sz w:val="20"/>
          <w:szCs w:val="20"/>
        </w:rPr>
        <w:t xml:space="preserve"> </w:t>
      </w:r>
    </w:p>
    <w:p w14:paraId="174685DA" w14:textId="77777777" w:rsidR="003C23E7" w:rsidRPr="00C77190" w:rsidRDefault="003C23E7" w:rsidP="003C23E7">
      <w:pPr>
        <w:pStyle w:val="BodyText"/>
        <w:spacing w:before="0"/>
        <w:rPr>
          <w:kern w:val="16"/>
          <w:sz w:val="20"/>
          <w:szCs w:val="20"/>
        </w:rPr>
      </w:pPr>
      <w:r w:rsidRPr="00C77190">
        <w:rPr>
          <w:kern w:val="16"/>
          <w:sz w:val="20"/>
          <w:szCs w:val="20"/>
        </w:rPr>
        <w:t xml:space="preserve">Sandra </w:t>
      </w:r>
      <w:proofErr w:type="spellStart"/>
      <w:r w:rsidRPr="00C77190">
        <w:rPr>
          <w:kern w:val="16"/>
          <w:sz w:val="20"/>
          <w:szCs w:val="20"/>
        </w:rPr>
        <w:t>MacKenzie</w:t>
      </w:r>
      <w:proofErr w:type="spellEnd"/>
      <w:r w:rsidRPr="00C77190">
        <w:rPr>
          <w:kern w:val="16"/>
          <w:sz w:val="20"/>
          <w:szCs w:val="20"/>
        </w:rPr>
        <w:t xml:space="preserve"> </w:t>
      </w:r>
    </w:p>
    <w:p w14:paraId="0789C5A1" w14:textId="77777777" w:rsidR="003C23E7" w:rsidRPr="00C77190" w:rsidRDefault="003C23E7" w:rsidP="003C23E7">
      <w:pPr>
        <w:pStyle w:val="BodyText"/>
        <w:spacing w:before="0"/>
        <w:rPr>
          <w:kern w:val="16"/>
          <w:sz w:val="20"/>
          <w:szCs w:val="20"/>
        </w:rPr>
      </w:pPr>
      <w:r w:rsidRPr="00C77190">
        <w:rPr>
          <w:kern w:val="16"/>
          <w:sz w:val="20"/>
          <w:szCs w:val="20"/>
        </w:rPr>
        <w:t xml:space="preserve">Peggy Mancuso </w:t>
      </w:r>
    </w:p>
    <w:p w14:paraId="4B6F6543" w14:textId="77777777" w:rsidR="003C23E7" w:rsidRPr="00C77190" w:rsidRDefault="003C23E7" w:rsidP="003C23E7">
      <w:pPr>
        <w:pStyle w:val="BodyText"/>
        <w:spacing w:before="0"/>
        <w:rPr>
          <w:kern w:val="16"/>
          <w:sz w:val="20"/>
          <w:szCs w:val="20"/>
        </w:rPr>
      </w:pPr>
      <w:r w:rsidRPr="00C77190">
        <w:rPr>
          <w:kern w:val="16"/>
          <w:sz w:val="20"/>
          <w:szCs w:val="20"/>
        </w:rPr>
        <w:t xml:space="preserve">Audrey Kaiser Manka </w:t>
      </w:r>
    </w:p>
    <w:p w14:paraId="0B8CA8E3" w14:textId="77777777" w:rsidR="003C23E7" w:rsidRPr="00C77190" w:rsidRDefault="003C23E7" w:rsidP="003C23E7">
      <w:pPr>
        <w:pStyle w:val="BodyText"/>
        <w:spacing w:before="0"/>
        <w:rPr>
          <w:kern w:val="16"/>
          <w:sz w:val="20"/>
          <w:szCs w:val="20"/>
        </w:rPr>
      </w:pPr>
      <w:r w:rsidRPr="00C77190">
        <w:rPr>
          <w:kern w:val="16"/>
          <w:sz w:val="20"/>
          <w:szCs w:val="20"/>
        </w:rPr>
        <w:t xml:space="preserve">Paul </w:t>
      </w:r>
      <w:proofErr w:type="spellStart"/>
      <w:r w:rsidRPr="00C77190">
        <w:rPr>
          <w:kern w:val="16"/>
          <w:sz w:val="20"/>
          <w:szCs w:val="20"/>
        </w:rPr>
        <w:t>Marinac</w:t>
      </w:r>
      <w:proofErr w:type="spellEnd"/>
      <w:r w:rsidRPr="00C77190">
        <w:rPr>
          <w:kern w:val="16"/>
          <w:sz w:val="20"/>
          <w:szCs w:val="20"/>
        </w:rPr>
        <w:t xml:space="preserve"> </w:t>
      </w:r>
    </w:p>
    <w:p w14:paraId="2E37D55F" w14:textId="77777777" w:rsidR="003C23E7" w:rsidRPr="00C77190" w:rsidRDefault="003C23E7" w:rsidP="003C23E7">
      <w:pPr>
        <w:pStyle w:val="BodyText"/>
        <w:spacing w:before="0"/>
        <w:rPr>
          <w:kern w:val="16"/>
          <w:sz w:val="20"/>
          <w:szCs w:val="20"/>
        </w:rPr>
      </w:pPr>
      <w:r w:rsidRPr="00C77190">
        <w:rPr>
          <w:kern w:val="16"/>
          <w:sz w:val="20"/>
          <w:szCs w:val="20"/>
        </w:rPr>
        <w:t xml:space="preserve">Bill </w:t>
      </w:r>
      <w:proofErr w:type="spellStart"/>
      <w:r w:rsidRPr="00C77190">
        <w:rPr>
          <w:kern w:val="16"/>
          <w:sz w:val="20"/>
          <w:szCs w:val="20"/>
        </w:rPr>
        <w:t>Marczewski</w:t>
      </w:r>
      <w:proofErr w:type="spellEnd"/>
    </w:p>
    <w:p w14:paraId="2F016D3D" w14:textId="77777777" w:rsidR="003C23E7" w:rsidRPr="00C77190" w:rsidRDefault="003C23E7" w:rsidP="003C23E7">
      <w:pPr>
        <w:pStyle w:val="BodyText"/>
        <w:spacing w:before="0"/>
        <w:rPr>
          <w:kern w:val="16"/>
          <w:sz w:val="20"/>
          <w:szCs w:val="20"/>
        </w:rPr>
      </w:pPr>
      <w:r w:rsidRPr="00C77190">
        <w:rPr>
          <w:kern w:val="16"/>
          <w:sz w:val="20"/>
          <w:szCs w:val="20"/>
        </w:rPr>
        <w:t xml:space="preserve">Cindy Maxwell </w:t>
      </w:r>
    </w:p>
    <w:p w14:paraId="64C87AD3" w14:textId="77777777" w:rsidR="003C23E7" w:rsidRPr="00C77190" w:rsidRDefault="003C23E7" w:rsidP="003C23E7">
      <w:pPr>
        <w:pStyle w:val="BodyText"/>
        <w:spacing w:before="0"/>
        <w:rPr>
          <w:kern w:val="16"/>
          <w:sz w:val="20"/>
          <w:szCs w:val="20"/>
        </w:rPr>
      </w:pPr>
      <w:r w:rsidRPr="00C77190">
        <w:rPr>
          <w:kern w:val="16"/>
          <w:sz w:val="20"/>
          <w:szCs w:val="20"/>
        </w:rPr>
        <w:t xml:space="preserve">Dan </w:t>
      </w:r>
      <w:proofErr w:type="spellStart"/>
      <w:r w:rsidRPr="00C77190">
        <w:rPr>
          <w:kern w:val="16"/>
          <w:sz w:val="20"/>
          <w:szCs w:val="20"/>
        </w:rPr>
        <w:t>Medenblik</w:t>
      </w:r>
      <w:proofErr w:type="spellEnd"/>
      <w:r w:rsidRPr="00C77190">
        <w:rPr>
          <w:kern w:val="16"/>
          <w:sz w:val="20"/>
          <w:szCs w:val="20"/>
        </w:rPr>
        <w:t xml:space="preserve"> </w:t>
      </w:r>
    </w:p>
    <w:p w14:paraId="7A1CDD4C" w14:textId="77777777" w:rsidR="003C23E7" w:rsidRPr="00C77190" w:rsidRDefault="003C23E7" w:rsidP="003C23E7">
      <w:pPr>
        <w:pStyle w:val="BodyText"/>
        <w:spacing w:before="0"/>
        <w:rPr>
          <w:kern w:val="16"/>
          <w:sz w:val="20"/>
          <w:szCs w:val="20"/>
        </w:rPr>
      </w:pPr>
      <w:r w:rsidRPr="00C77190">
        <w:rPr>
          <w:kern w:val="16"/>
          <w:sz w:val="20"/>
          <w:szCs w:val="20"/>
        </w:rPr>
        <w:t xml:space="preserve">Nitika Moibi </w:t>
      </w:r>
    </w:p>
    <w:p w14:paraId="406294FC" w14:textId="77777777" w:rsidR="003C23E7" w:rsidRPr="00C77190" w:rsidRDefault="003C23E7" w:rsidP="003C23E7">
      <w:pPr>
        <w:pStyle w:val="BodyText"/>
        <w:spacing w:before="0"/>
        <w:rPr>
          <w:kern w:val="16"/>
          <w:sz w:val="20"/>
          <w:szCs w:val="20"/>
        </w:rPr>
      </w:pPr>
      <w:r w:rsidRPr="00C77190">
        <w:rPr>
          <w:kern w:val="16"/>
          <w:sz w:val="20"/>
          <w:szCs w:val="20"/>
        </w:rPr>
        <w:t xml:space="preserve">Kevin Molloy </w:t>
      </w:r>
    </w:p>
    <w:p w14:paraId="20FA6270" w14:textId="77777777" w:rsidR="003C23E7" w:rsidRPr="00C77190" w:rsidRDefault="003C23E7" w:rsidP="003C23E7">
      <w:pPr>
        <w:pStyle w:val="BodyText"/>
        <w:spacing w:before="0"/>
        <w:rPr>
          <w:kern w:val="16"/>
          <w:sz w:val="20"/>
          <w:szCs w:val="20"/>
        </w:rPr>
      </w:pPr>
      <w:r w:rsidRPr="00C77190">
        <w:rPr>
          <w:kern w:val="16"/>
          <w:sz w:val="20"/>
          <w:szCs w:val="20"/>
        </w:rPr>
        <w:t xml:space="preserve">Pat Munkel-Olson </w:t>
      </w:r>
    </w:p>
    <w:p w14:paraId="409F22D4" w14:textId="77777777" w:rsidR="003C23E7" w:rsidRPr="00C77190" w:rsidRDefault="003C23E7" w:rsidP="003C23E7">
      <w:pPr>
        <w:pStyle w:val="BodyText"/>
        <w:spacing w:before="0"/>
        <w:rPr>
          <w:kern w:val="16"/>
          <w:sz w:val="20"/>
          <w:szCs w:val="20"/>
        </w:rPr>
      </w:pPr>
      <w:r w:rsidRPr="00C77190">
        <w:rPr>
          <w:kern w:val="16"/>
          <w:sz w:val="20"/>
          <w:szCs w:val="20"/>
        </w:rPr>
        <w:t xml:space="preserve">Laura Nehl-Trueman </w:t>
      </w:r>
    </w:p>
    <w:p w14:paraId="3407E513" w14:textId="77777777" w:rsidR="003C23E7" w:rsidRPr="00C77190" w:rsidRDefault="003C23E7" w:rsidP="003C23E7">
      <w:pPr>
        <w:pStyle w:val="BodyText"/>
        <w:spacing w:before="0"/>
        <w:rPr>
          <w:kern w:val="16"/>
          <w:sz w:val="20"/>
          <w:szCs w:val="20"/>
        </w:rPr>
      </w:pPr>
      <w:r w:rsidRPr="00C77190">
        <w:rPr>
          <w:kern w:val="16"/>
          <w:sz w:val="20"/>
          <w:szCs w:val="20"/>
        </w:rPr>
        <w:t xml:space="preserve">Jane Nelson </w:t>
      </w:r>
    </w:p>
    <w:p w14:paraId="2DEBDD60" w14:textId="77777777" w:rsidR="003C23E7" w:rsidRPr="00C77190" w:rsidRDefault="003C23E7" w:rsidP="003C23E7">
      <w:pPr>
        <w:pStyle w:val="BodyText"/>
        <w:spacing w:before="0"/>
        <w:rPr>
          <w:kern w:val="16"/>
          <w:sz w:val="20"/>
          <w:szCs w:val="20"/>
        </w:rPr>
      </w:pPr>
      <w:r w:rsidRPr="00C77190">
        <w:rPr>
          <w:kern w:val="16"/>
          <w:sz w:val="20"/>
          <w:szCs w:val="20"/>
        </w:rPr>
        <w:t xml:space="preserve">Catherine </w:t>
      </w:r>
      <w:proofErr w:type="spellStart"/>
      <w:r w:rsidRPr="00C77190">
        <w:rPr>
          <w:kern w:val="16"/>
          <w:sz w:val="20"/>
          <w:szCs w:val="20"/>
        </w:rPr>
        <w:t>Neuschler</w:t>
      </w:r>
      <w:proofErr w:type="spellEnd"/>
      <w:r w:rsidRPr="00C77190">
        <w:rPr>
          <w:kern w:val="16"/>
          <w:sz w:val="20"/>
          <w:szCs w:val="20"/>
        </w:rPr>
        <w:t xml:space="preserve"> </w:t>
      </w:r>
    </w:p>
    <w:p w14:paraId="4C986CB0" w14:textId="77777777" w:rsidR="003C23E7" w:rsidRPr="00C77190" w:rsidRDefault="003C23E7" w:rsidP="003C23E7">
      <w:pPr>
        <w:pStyle w:val="BodyText"/>
        <w:spacing w:before="0"/>
        <w:rPr>
          <w:kern w:val="16"/>
          <w:sz w:val="20"/>
          <w:szCs w:val="20"/>
        </w:rPr>
      </w:pPr>
      <w:r w:rsidRPr="00C77190">
        <w:rPr>
          <w:kern w:val="16"/>
          <w:sz w:val="20"/>
          <w:szCs w:val="20"/>
        </w:rPr>
        <w:t xml:space="preserve">Laura Offerdahl </w:t>
      </w:r>
    </w:p>
    <w:p w14:paraId="0E8E7A5A" w14:textId="77777777" w:rsidR="003C23E7" w:rsidRPr="00C77190" w:rsidRDefault="003C23E7" w:rsidP="003C23E7">
      <w:pPr>
        <w:pStyle w:val="BodyText"/>
        <w:spacing w:before="0"/>
        <w:rPr>
          <w:kern w:val="16"/>
          <w:sz w:val="20"/>
          <w:szCs w:val="20"/>
        </w:rPr>
      </w:pPr>
      <w:r w:rsidRPr="00C77190">
        <w:rPr>
          <w:kern w:val="16"/>
          <w:sz w:val="20"/>
          <w:szCs w:val="20"/>
        </w:rPr>
        <w:t xml:space="preserve">Deb Olson </w:t>
      </w:r>
    </w:p>
    <w:p w14:paraId="0AF87D14" w14:textId="77777777" w:rsidR="003C23E7" w:rsidRPr="00C77190" w:rsidRDefault="003C23E7" w:rsidP="003C23E7">
      <w:pPr>
        <w:pStyle w:val="BodyText"/>
        <w:spacing w:before="0"/>
        <w:rPr>
          <w:kern w:val="16"/>
          <w:sz w:val="20"/>
          <w:szCs w:val="20"/>
        </w:rPr>
      </w:pPr>
      <w:r w:rsidRPr="00C77190">
        <w:rPr>
          <w:kern w:val="16"/>
          <w:sz w:val="20"/>
          <w:szCs w:val="20"/>
        </w:rPr>
        <w:t xml:space="preserve">Jocelyn Olson </w:t>
      </w:r>
    </w:p>
    <w:p w14:paraId="79E32C72" w14:textId="77777777" w:rsidR="003C23E7" w:rsidRPr="00C77190" w:rsidRDefault="003C23E7" w:rsidP="003C23E7">
      <w:pPr>
        <w:pStyle w:val="BodyText"/>
        <w:spacing w:before="0"/>
        <w:rPr>
          <w:kern w:val="16"/>
          <w:sz w:val="20"/>
          <w:szCs w:val="20"/>
        </w:rPr>
      </w:pPr>
      <w:r w:rsidRPr="00C77190">
        <w:rPr>
          <w:kern w:val="16"/>
          <w:sz w:val="20"/>
          <w:szCs w:val="20"/>
        </w:rPr>
        <w:t xml:space="preserve">Marie O’Neill </w:t>
      </w:r>
    </w:p>
    <w:p w14:paraId="1B2D1CDC" w14:textId="77777777" w:rsidR="003C23E7" w:rsidRPr="00C77190" w:rsidRDefault="003C23E7" w:rsidP="003C23E7">
      <w:pPr>
        <w:pStyle w:val="BodyText"/>
        <w:spacing w:before="0"/>
        <w:rPr>
          <w:kern w:val="16"/>
          <w:sz w:val="20"/>
          <w:szCs w:val="20"/>
        </w:rPr>
      </w:pPr>
      <w:r w:rsidRPr="00C77190">
        <w:rPr>
          <w:kern w:val="16"/>
          <w:sz w:val="20"/>
          <w:szCs w:val="20"/>
        </w:rPr>
        <w:t xml:space="preserve">Michele Owen </w:t>
      </w:r>
    </w:p>
    <w:p w14:paraId="2CB8D8BF" w14:textId="77777777" w:rsidR="003C23E7" w:rsidRPr="00C77190" w:rsidRDefault="003C23E7" w:rsidP="003C23E7">
      <w:pPr>
        <w:pStyle w:val="BodyText"/>
        <w:spacing w:before="0"/>
        <w:rPr>
          <w:kern w:val="16"/>
          <w:sz w:val="20"/>
          <w:szCs w:val="20"/>
        </w:rPr>
      </w:pPr>
      <w:r w:rsidRPr="00C77190">
        <w:rPr>
          <w:kern w:val="16"/>
          <w:sz w:val="20"/>
          <w:szCs w:val="20"/>
        </w:rPr>
        <w:t xml:space="preserve">Robin </w:t>
      </w:r>
      <w:proofErr w:type="spellStart"/>
      <w:r w:rsidRPr="00C77190">
        <w:rPr>
          <w:kern w:val="16"/>
          <w:sz w:val="20"/>
          <w:szCs w:val="20"/>
        </w:rPr>
        <w:t>PanLener</w:t>
      </w:r>
      <w:proofErr w:type="spellEnd"/>
      <w:r w:rsidRPr="00C77190">
        <w:rPr>
          <w:kern w:val="16"/>
          <w:sz w:val="20"/>
          <w:szCs w:val="20"/>
        </w:rPr>
        <w:t xml:space="preserve"> </w:t>
      </w:r>
    </w:p>
    <w:p w14:paraId="4A5FF366" w14:textId="77777777" w:rsidR="003C23E7" w:rsidRPr="00C77190" w:rsidRDefault="003C23E7" w:rsidP="003C23E7">
      <w:pPr>
        <w:pStyle w:val="BodyText"/>
        <w:spacing w:before="0"/>
        <w:rPr>
          <w:kern w:val="16"/>
          <w:sz w:val="20"/>
          <w:szCs w:val="20"/>
        </w:rPr>
      </w:pPr>
      <w:r w:rsidRPr="00C77190">
        <w:rPr>
          <w:kern w:val="16"/>
          <w:sz w:val="20"/>
          <w:szCs w:val="20"/>
        </w:rPr>
        <w:t xml:space="preserve">Laura Peterson </w:t>
      </w:r>
    </w:p>
    <w:p w14:paraId="5E096BFD" w14:textId="77777777" w:rsidR="003C23E7" w:rsidRPr="00C77190" w:rsidRDefault="003C23E7" w:rsidP="003C23E7">
      <w:pPr>
        <w:pStyle w:val="BodyText"/>
        <w:spacing w:before="0"/>
        <w:rPr>
          <w:kern w:val="16"/>
          <w:sz w:val="20"/>
          <w:szCs w:val="20"/>
        </w:rPr>
      </w:pPr>
      <w:r w:rsidRPr="00C77190">
        <w:rPr>
          <w:kern w:val="16"/>
          <w:sz w:val="20"/>
          <w:szCs w:val="20"/>
        </w:rPr>
        <w:t xml:space="preserve">Julian </w:t>
      </w:r>
      <w:proofErr w:type="spellStart"/>
      <w:r w:rsidRPr="00C77190">
        <w:rPr>
          <w:kern w:val="16"/>
          <w:sz w:val="20"/>
          <w:szCs w:val="20"/>
        </w:rPr>
        <w:t>Plamann</w:t>
      </w:r>
      <w:proofErr w:type="spellEnd"/>
      <w:r w:rsidRPr="00C77190">
        <w:rPr>
          <w:kern w:val="16"/>
          <w:sz w:val="20"/>
          <w:szCs w:val="20"/>
        </w:rPr>
        <w:t xml:space="preserve"> </w:t>
      </w:r>
    </w:p>
    <w:p w14:paraId="2A80C43E" w14:textId="77777777" w:rsidR="003C23E7" w:rsidRPr="00C77190" w:rsidRDefault="003C23E7" w:rsidP="003C23E7">
      <w:pPr>
        <w:pStyle w:val="BodyText"/>
        <w:spacing w:before="0"/>
        <w:rPr>
          <w:kern w:val="16"/>
          <w:sz w:val="20"/>
          <w:szCs w:val="20"/>
        </w:rPr>
      </w:pPr>
      <w:r w:rsidRPr="00C77190">
        <w:rPr>
          <w:kern w:val="16"/>
          <w:sz w:val="20"/>
          <w:szCs w:val="20"/>
        </w:rPr>
        <w:t>Sean Plemmons</w:t>
      </w:r>
    </w:p>
    <w:p w14:paraId="28F5579D" w14:textId="77777777" w:rsidR="003C23E7" w:rsidRPr="00C77190" w:rsidRDefault="003C23E7" w:rsidP="003C23E7">
      <w:pPr>
        <w:pStyle w:val="BodyText"/>
        <w:spacing w:before="0"/>
        <w:rPr>
          <w:kern w:val="16"/>
          <w:sz w:val="20"/>
          <w:szCs w:val="20"/>
        </w:rPr>
      </w:pPr>
      <w:r w:rsidRPr="00C77190">
        <w:rPr>
          <w:kern w:val="16"/>
          <w:sz w:val="20"/>
          <w:szCs w:val="20"/>
        </w:rPr>
        <w:t xml:space="preserve">Linda Prail </w:t>
      </w:r>
    </w:p>
    <w:p w14:paraId="672EFAC0" w14:textId="77777777" w:rsidR="003C23E7" w:rsidRPr="00C77190" w:rsidRDefault="003C23E7" w:rsidP="003C23E7">
      <w:pPr>
        <w:pStyle w:val="BodyText"/>
        <w:spacing w:before="0"/>
        <w:rPr>
          <w:kern w:val="16"/>
          <w:sz w:val="20"/>
          <w:szCs w:val="20"/>
        </w:rPr>
      </w:pPr>
      <w:r w:rsidRPr="00C77190">
        <w:rPr>
          <w:kern w:val="16"/>
          <w:sz w:val="20"/>
          <w:szCs w:val="20"/>
        </w:rPr>
        <w:t xml:space="preserve">ALJ Tammy </w:t>
      </w:r>
      <w:proofErr w:type="spellStart"/>
      <w:r w:rsidRPr="00C77190">
        <w:rPr>
          <w:kern w:val="16"/>
          <w:sz w:val="20"/>
          <w:szCs w:val="20"/>
        </w:rPr>
        <w:t>Pust</w:t>
      </w:r>
      <w:proofErr w:type="spellEnd"/>
      <w:r w:rsidRPr="00C77190">
        <w:rPr>
          <w:kern w:val="16"/>
          <w:sz w:val="20"/>
          <w:szCs w:val="20"/>
        </w:rPr>
        <w:t xml:space="preserve"> </w:t>
      </w:r>
    </w:p>
    <w:p w14:paraId="105673FD" w14:textId="77777777" w:rsidR="003C23E7" w:rsidRPr="00C77190" w:rsidRDefault="003C23E7" w:rsidP="003C23E7">
      <w:pPr>
        <w:pStyle w:val="BodyText"/>
        <w:spacing w:before="0"/>
        <w:rPr>
          <w:kern w:val="16"/>
          <w:sz w:val="20"/>
          <w:szCs w:val="20"/>
        </w:rPr>
      </w:pPr>
      <w:r w:rsidRPr="00C77190">
        <w:rPr>
          <w:kern w:val="16"/>
          <w:sz w:val="20"/>
          <w:szCs w:val="20"/>
        </w:rPr>
        <w:t xml:space="preserve">Rick Reichert </w:t>
      </w:r>
    </w:p>
    <w:p w14:paraId="5FAC7B63" w14:textId="77777777" w:rsidR="003C23E7" w:rsidRPr="00C77190" w:rsidRDefault="003C23E7" w:rsidP="003C23E7">
      <w:pPr>
        <w:pStyle w:val="BodyText"/>
        <w:spacing w:before="0"/>
        <w:rPr>
          <w:kern w:val="16"/>
          <w:sz w:val="20"/>
          <w:szCs w:val="20"/>
        </w:rPr>
      </w:pPr>
      <w:r w:rsidRPr="00C77190">
        <w:rPr>
          <w:kern w:val="16"/>
          <w:sz w:val="20"/>
          <w:szCs w:val="20"/>
        </w:rPr>
        <w:t xml:space="preserve">Nancy Rice </w:t>
      </w:r>
    </w:p>
    <w:p w14:paraId="770673EE" w14:textId="77777777" w:rsidR="003C23E7" w:rsidRPr="00C77190" w:rsidRDefault="003C23E7" w:rsidP="003C23E7">
      <w:pPr>
        <w:pStyle w:val="BodyText"/>
        <w:spacing w:before="0"/>
        <w:rPr>
          <w:kern w:val="16"/>
          <w:sz w:val="20"/>
          <w:szCs w:val="20"/>
        </w:rPr>
      </w:pPr>
      <w:r>
        <w:rPr>
          <w:kern w:val="16"/>
          <w:sz w:val="20"/>
          <w:szCs w:val="20"/>
        </w:rPr>
        <w:t>B</w:t>
      </w:r>
      <w:r w:rsidRPr="00C77190">
        <w:rPr>
          <w:kern w:val="16"/>
          <w:sz w:val="20"/>
          <w:szCs w:val="20"/>
        </w:rPr>
        <w:t xml:space="preserve">eth Scheffer </w:t>
      </w:r>
    </w:p>
    <w:p w14:paraId="4D9A720A" w14:textId="77777777" w:rsidR="003C23E7" w:rsidRDefault="003C23E7" w:rsidP="003C23E7">
      <w:pPr>
        <w:pStyle w:val="BodyText"/>
        <w:spacing w:before="0"/>
        <w:rPr>
          <w:kern w:val="16"/>
          <w:sz w:val="20"/>
          <w:szCs w:val="20"/>
        </w:rPr>
      </w:pPr>
      <w:r w:rsidRPr="00C77190">
        <w:rPr>
          <w:kern w:val="16"/>
          <w:sz w:val="20"/>
          <w:szCs w:val="20"/>
        </w:rPr>
        <w:t xml:space="preserve">ALJ Laura Schlatter </w:t>
      </w:r>
    </w:p>
    <w:p w14:paraId="3915B7C9" w14:textId="77777777" w:rsidR="003C23E7" w:rsidRPr="00C77190" w:rsidRDefault="003C23E7" w:rsidP="003C23E7">
      <w:pPr>
        <w:pStyle w:val="BodyText"/>
        <w:spacing w:before="0"/>
        <w:rPr>
          <w:kern w:val="16"/>
          <w:sz w:val="20"/>
          <w:szCs w:val="20"/>
        </w:rPr>
      </w:pPr>
      <w:r>
        <w:rPr>
          <w:kern w:val="16"/>
          <w:sz w:val="20"/>
          <w:szCs w:val="20"/>
        </w:rPr>
        <w:t>Patricia Segal Freeman</w:t>
      </w:r>
    </w:p>
    <w:p w14:paraId="11385ECF" w14:textId="77777777" w:rsidR="003C23E7" w:rsidRPr="00C77190" w:rsidRDefault="003C23E7" w:rsidP="003C23E7">
      <w:pPr>
        <w:pStyle w:val="BodyText"/>
        <w:spacing w:before="0"/>
        <w:rPr>
          <w:kern w:val="16"/>
          <w:sz w:val="20"/>
          <w:szCs w:val="20"/>
        </w:rPr>
      </w:pPr>
      <w:r w:rsidRPr="00C77190">
        <w:rPr>
          <w:kern w:val="16"/>
          <w:sz w:val="20"/>
          <w:szCs w:val="20"/>
        </w:rPr>
        <w:t xml:space="preserve">Ann </w:t>
      </w:r>
      <w:proofErr w:type="spellStart"/>
      <w:r w:rsidRPr="00C77190">
        <w:rPr>
          <w:kern w:val="16"/>
          <w:sz w:val="20"/>
          <w:szCs w:val="20"/>
        </w:rPr>
        <w:t>Seha</w:t>
      </w:r>
      <w:proofErr w:type="spellEnd"/>
      <w:r w:rsidRPr="00C77190">
        <w:rPr>
          <w:kern w:val="16"/>
          <w:sz w:val="20"/>
          <w:szCs w:val="20"/>
        </w:rPr>
        <w:t xml:space="preserve"> </w:t>
      </w:r>
    </w:p>
    <w:p w14:paraId="3A99D4EF" w14:textId="77777777" w:rsidR="003C23E7" w:rsidRPr="00C77190" w:rsidRDefault="003C23E7" w:rsidP="003C23E7">
      <w:pPr>
        <w:pStyle w:val="BodyText"/>
        <w:spacing w:before="0"/>
        <w:rPr>
          <w:kern w:val="16"/>
          <w:sz w:val="20"/>
          <w:szCs w:val="20"/>
        </w:rPr>
      </w:pPr>
      <w:r w:rsidRPr="00C77190">
        <w:rPr>
          <w:kern w:val="16"/>
          <w:sz w:val="20"/>
          <w:szCs w:val="20"/>
        </w:rPr>
        <w:t xml:space="preserve">Jonathan Sewall </w:t>
      </w:r>
    </w:p>
    <w:p w14:paraId="3A8AB555" w14:textId="77777777" w:rsidR="003C23E7" w:rsidRPr="00C77190" w:rsidRDefault="003C23E7" w:rsidP="003C23E7">
      <w:pPr>
        <w:pStyle w:val="BodyText"/>
        <w:spacing w:before="0"/>
        <w:rPr>
          <w:kern w:val="16"/>
          <w:sz w:val="20"/>
          <w:szCs w:val="20"/>
        </w:rPr>
      </w:pPr>
      <w:r w:rsidRPr="00C77190">
        <w:rPr>
          <w:kern w:val="16"/>
          <w:sz w:val="20"/>
          <w:szCs w:val="20"/>
        </w:rPr>
        <w:t xml:space="preserve">Pamela </w:t>
      </w:r>
      <w:proofErr w:type="spellStart"/>
      <w:r w:rsidRPr="00C77190">
        <w:rPr>
          <w:kern w:val="16"/>
          <w:sz w:val="20"/>
          <w:szCs w:val="20"/>
        </w:rPr>
        <w:t>Shubat</w:t>
      </w:r>
      <w:proofErr w:type="spellEnd"/>
    </w:p>
    <w:p w14:paraId="765B55EB" w14:textId="77777777" w:rsidR="003C23E7" w:rsidRPr="00C77190" w:rsidRDefault="003C23E7" w:rsidP="003C23E7">
      <w:pPr>
        <w:pStyle w:val="BodyText"/>
        <w:spacing w:before="0"/>
        <w:rPr>
          <w:kern w:val="16"/>
          <w:sz w:val="20"/>
          <w:szCs w:val="20"/>
        </w:rPr>
      </w:pPr>
      <w:r w:rsidRPr="00C77190">
        <w:rPr>
          <w:kern w:val="16"/>
          <w:sz w:val="20"/>
          <w:szCs w:val="20"/>
        </w:rPr>
        <w:t xml:space="preserve">Josh Skaar </w:t>
      </w:r>
    </w:p>
    <w:p w14:paraId="28FC029F" w14:textId="77777777" w:rsidR="003C23E7" w:rsidRPr="00C77190" w:rsidRDefault="003C23E7" w:rsidP="003C23E7">
      <w:pPr>
        <w:pStyle w:val="BodyText"/>
        <w:spacing w:before="0"/>
        <w:rPr>
          <w:kern w:val="16"/>
          <w:sz w:val="20"/>
          <w:szCs w:val="20"/>
        </w:rPr>
      </w:pPr>
      <w:r w:rsidRPr="00C77190">
        <w:rPr>
          <w:kern w:val="16"/>
          <w:sz w:val="20"/>
          <w:szCs w:val="20"/>
        </w:rPr>
        <w:t xml:space="preserve">Mat </w:t>
      </w:r>
      <w:proofErr w:type="spellStart"/>
      <w:r w:rsidRPr="00C77190">
        <w:rPr>
          <w:kern w:val="16"/>
          <w:sz w:val="20"/>
          <w:szCs w:val="20"/>
        </w:rPr>
        <w:t>Spaan</w:t>
      </w:r>
      <w:proofErr w:type="spellEnd"/>
      <w:r w:rsidRPr="00C77190">
        <w:rPr>
          <w:kern w:val="16"/>
          <w:sz w:val="20"/>
          <w:szCs w:val="20"/>
        </w:rPr>
        <w:t xml:space="preserve"> </w:t>
      </w:r>
    </w:p>
    <w:p w14:paraId="66FD571D" w14:textId="77777777" w:rsidR="003C23E7" w:rsidRPr="00C77190" w:rsidRDefault="003C23E7" w:rsidP="003C23E7">
      <w:pPr>
        <w:pStyle w:val="BodyText"/>
        <w:spacing w:before="0"/>
        <w:rPr>
          <w:kern w:val="16"/>
          <w:sz w:val="20"/>
          <w:szCs w:val="20"/>
        </w:rPr>
      </w:pPr>
      <w:r w:rsidRPr="00C77190">
        <w:rPr>
          <w:kern w:val="16"/>
          <w:sz w:val="20"/>
          <w:szCs w:val="20"/>
        </w:rPr>
        <w:t xml:space="preserve">Karen Hook Sullivan </w:t>
      </w:r>
    </w:p>
    <w:p w14:paraId="2003ED12" w14:textId="77777777" w:rsidR="003C23E7" w:rsidRPr="00C77190" w:rsidRDefault="003C23E7" w:rsidP="003C23E7">
      <w:pPr>
        <w:pStyle w:val="BodyText"/>
        <w:spacing w:before="0"/>
        <w:rPr>
          <w:kern w:val="16"/>
          <w:sz w:val="20"/>
          <w:szCs w:val="20"/>
        </w:rPr>
      </w:pPr>
      <w:r w:rsidRPr="00C77190">
        <w:rPr>
          <w:kern w:val="16"/>
          <w:sz w:val="20"/>
          <w:szCs w:val="20"/>
        </w:rPr>
        <w:t xml:space="preserve">Annette M. </w:t>
      </w:r>
      <w:proofErr w:type="spellStart"/>
      <w:r w:rsidRPr="00C77190">
        <w:rPr>
          <w:kern w:val="16"/>
          <w:sz w:val="20"/>
          <w:szCs w:val="20"/>
        </w:rPr>
        <w:t>Trnka</w:t>
      </w:r>
      <w:proofErr w:type="spellEnd"/>
      <w:r w:rsidRPr="00C77190">
        <w:rPr>
          <w:kern w:val="16"/>
          <w:sz w:val="20"/>
          <w:szCs w:val="20"/>
        </w:rPr>
        <w:t xml:space="preserve"> </w:t>
      </w:r>
    </w:p>
    <w:p w14:paraId="51AA96D7" w14:textId="77777777" w:rsidR="003C23E7" w:rsidRPr="00C77190" w:rsidRDefault="003C23E7" w:rsidP="003C23E7">
      <w:pPr>
        <w:pStyle w:val="BodyText"/>
        <w:spacing w:before="0"/>
        <w:rPr>
          <w:kern w:val="16"/>
          <w:sz w:val="20"/>
          <w:szCs w:val="20"/>
        </w:rPr>
      </w:pPr>
      <w:r w:rsidRPr="00C77190">
        <w:rPr>
          <w:kern w:val="16"/>
          <w:sz w:val="20"/>
          <w:szCs w:val="20"/>
        </w:rPr>
        <w:t xml:space="preserve">Suzanne Todnem </w:t>
      </w:r>
    </w:p>
    <w:p w14:paraId="1869A501" w14:textId="77777777" w:rsidR="003C23E7" w:rsidRPr="00C77190" w:rsidRDefault="003C23E7" w:rsidP="003C23E7">
      <w:pPr>
        <w:pStyle w:val="BodyText"/>
        <w:spacing w:before="0"/>
        <w:rPr>
          <w:kern w:val="16"/>
          <w:sz w:val="20"/>
          <w:szCs w:val="20"/>
        </w:rPr>
      </w:pPr>
      <w:r w:rsidRPr="00C77190">
        <w:rPr>
          <w:kern w:val="16"/>
          <w:sz w:val="20"/>
          <w:szCs w:val="20"/>
        </w:rPr>
        <w:t xml:space="preserve">Penny </w:t>
      </w:r>
      <w:proofErr w:type="spellStart"/>
      <w:r w:rsidRPr="00C77190">
        <w:rPr>
          <w:kern w:val="16"/>
          <w:sz w:val="20"/>
          <w:szCs w:val="20"/>
        </w:rPr>
        <w:t>Troolin</w:t>
      </w:r>
      <w:proofErr w:type="spellEnd"/>
      <w:r w:rsidRPr="00C77190">
        <w:rPr>
          <w:kern w:val="16"/>
          <w:sz w:val="20"/>
          <w:szCs w:val="20"/>
        </w:rPr>
        <w:t xml:space="preserve"> </w:t>
      </w:r>
    </w:p>
    <w:p w14:paraId="27EBC43F" w14:textId="77777777" w:rsidR="003C23E7" w:rsidRDefault="003C23E7" w:rsidP="003C23E7">
      <w:pPr>
        <w:pStyle w:val="BodyText"/>
        <w:spacing w:before="0"/>
        <w:rPr>
          <w:kern w:val="16"/>
          <w:sz w:val="20"/>
          <w:szCs w:val="20"/>
        </w:rPr>
      </w:pPr>
      <w:r w:rsidRPr="00C77190">
        <w:rPr>
          <w:kern w:val="16"/>
          <w:sz w:val="20"/>
          <w:szCs w:val="20"/>
        </w:rPr>
        <w:t xml:space="preserve">Sage Van </w:t>
      </w:r>
      <w:proofErr w:type="spellStart"/>
      <w:r w:rsidRPr="00C77190">
        <w:rPr>
          <w:kern w:val="16"/>
          <w:sz w:val="20"/>
          <w:szCs w:val="20"/>
        </w:rPr>
        <w:t>Voorhis</w:t>
      </w:r>
      <w:proofErr w:type="spellEnd"/>
      <w:r w:rsidRPr="00C77190">
        <w:rPr>
          <w:kern w:val="16"/>
          <w:sz w:val="20"/>
          <w:szCs w:val="20"/>
        </w:rPr>
        <w:t xml:space="preserve"> </w:t>
      </w:r>
    </w:p>
    <w:p w14:paraId="1AD47729" w14:textId="77777777" w:rsidR="003C23E7" w:rsidRPr="00C77190" w:rsidRDefault="003C23E7" w:rsidP="003C23E7">
      <w:pPr>
        <w:pStyle w:val="BodyText"/>
        <w:spacing w:before="0"/>
        <w:rPr>
          <w:kern w:val="16"/>
          <w:sz w:val="20"/>
          <w:szCs w:val="20"/>
        </w:rPr>
      </w:pPr>
      <w:r>
        <w:rPr>
          <w:kern w:val="16"/>
          <w:sz w:val="20"/>
          <w:szCs w:val="20"/>
        </w:rPr>
        <w:t>Michelle Vaught</w:t>
      </w:r>
    </w:p>
    <w:p w14:paraId="63EC244D" w14:textId="77777777" w:rsidR="003C23E7" w:rsidRPr="00C77190" w:rsidRDefault="003C23E7" w:rsidP="003C23E7">
      <w:pPr>
        <w:pStyle w:val="BodyText"/>
        <w:spacing w:before="0"/>
        <w:rPr>
          <w:kern w:val="16"/>
          <w:sz w:val="20"/>
          <w:szCs w:val="20"/>
        </w:rPr>
      </w:pPr>
      <w:r w:rsidRPr="00C77190">
        <w:rPr>
          <w:kern w:val="16"/>
          <w:sz w:val="20"/>
          <w:szCs w:val="20"/>
        </w:rPr>
        <w:t>Placida Venegas</w:t>
      </w:r>
    </w:p>
    <w:p w14:paraId="753997F4" w14:textId="77777777" w:rsidR="003C23E7" w:rsidRDefault="003C23E7" w:rsidP="003C23E7">
      <w:pPr>
        <w:pStyle w:val="BodyText"/>
        <w:spacing w:before="0"/>
        <w:rPr>
          <w:kern w:val="16"/>
          <w:sz w:val="20"/>
          <w:szCs w:val="20"/>
        </w:rPr>
      </w:pPr>
      <w:r w:rsidRPr="00C77190">
        <w:rPr>
          <w:kern w:val="16"/>
          <w:sz w:val="20"/>
          <w:szCs w:val="20"/>
        </w:rPr>
        <w:t xml:space="preserve">Larisa </w:t>
      </w:r>
      <w:proofErr w:type="spellStart"/>
      <w:r w:rsidRPr="00C77190">
        <w:rPr>
          <w:kern w:val="16"/>
          <w:sz w:val="20"/>
          <w:szCs w:val="20"/>
        </w:rPr>
        <w:t>Vishkovetsky</w:t>
      </w:r>
      <w:proofErr w:type="spellEnd"/>
      <w:r w:rsidRPr="00C77190">
        <w:rPr>
          <w:kern w:val="16"/>
          <w:sz w:val="20"/>
          <w:szCs w:val="20"/>
        </w:rPr>
        <w:t xml:space="preserve"> </w:t>
      </w:r>
    </w:p>
    <w:p w14:paraId="3D8760C1" w14:textId="77777777" w:rsidR="003C23E7" w:rsidRPr="00C77190" w:rsidRDefault="003C23E7" w:rsidP="003C23E7">
      <w:pPr>
        <w:pStyle w:val="BodyText"/>
        <w:spacing w:before="0"/>
        <w:rPr>
          <w:kern w:val="16"/>
          <w:sz w:val="20"/>
          <w:szCs w:val="20"/>
        </w:rPr>
      </w:pPr>
      <w:r>
        <w:rPr>
          <w:kern w:val="16"/>
          <w:sz w:val="20"/>
          <w:szCs w:val="20"/>
        </w:rPr>
        <w:t>Vanessa Vogl</w:t>
      </w:r>
    </w:p>
    <w:p w14:paraId="0D97A25C" w14:textId="77777777" w:rsidR="003C23E7" w:rsidRPr="00C77190" w:rsidRDefault="003C23E7" w:rsidP="003C23E7">
      <w:pPr>
        <w:pStyle w:val="BodyText"/>
        <w:spacing w:before="0"/>
        <w:rPr>
          <w:kern w:val="16"/>
          <w:sz w:val="20"/>
          <w:szCs w:val="20"/>
        </w:rPr>
      </w:pPr>
      <w:r w:rsidRPr="00C77190">
        <w:rPr>
          <w:kern w:val="16"/>
          <w:sz w:val="20"/>
          <w:szCs w:val="20"/>
        </w:rPr>
        <w:t xml:space="preserve">Cretia Weaver </w:t>
      </w:r>
    </w:p>
    <w:p w14:paraId="0D3C5986" w14:textId="77777777" w:rsidR="003C23E7" w:rsidRPr="00C77190" w:rsidRDefault="003C23E7" w:rsidP="003C23E7">
      <w:pPr>
        <w:pStyle w:val="BodyText"/>
        <w:spacing w:before="0"/>
        <w:rPr>
          <w:kern w:val="16"/>
          <w:sz w:val="20"/>
          <w:szCs w:val="20"/>
        </w:rPr>
      </w:pPr>
      <w:r w:rsidRPr="00C77190">
        <w:rPr>
          <w:kern w:val="16"/>
          <w:sz w:val="20"/>
          <w:szCs w:val="20"/>
        </w:rPr>
        <w:t xml:space="preserve">Alice </w:t>
      </w:r>
      <w:proofErr w:type="spellStart"/>
      <w:r w:rsidRPr="00C77190">
        <w:rPr>
          <w:kern w:val="16"/>
          <w:sz w:val="20"/>
          <w:szCs w:val="20"/>
        </w:rPr>
        <w:t>Weck</w:t>
      </w:r>
      <w:proofErr w:type="spellEnd"/>
      <w:r w:rsidRPr="00C77190">
        <w:rPr>
          <w:kern w:val="16"/>
          <w:sz w:val="20"/>
          <w:szCs w:val="20"/>
        </w:rPr>
        <w:t xml:space="preserve"> </w:t>
      </w:r>
    </w:p>
    <w:p w14:paraId="5F4322B3" w14:textId="77777777" w:rsidR="003C23E7" w:rsidRDefault="003C23E7" w:rsidP="003C23E7">
      <w:pPr>
        <w:pStyle w:val="BodyText"/>
        <w:spacing w:before="0"/>
        <w:rPr>
          <w:kern w:val="16"/>
          <w:sz w:val="20"/>
          <w:szCs w:val="20"/>
        </w:rPr>
      </w:pPr>
      <w:r w:rsidRPr="00C77190">
        <w:rPr>
          <w:kern w:val="16"/>
          <w:sz w:val="20"/>
          <w:szCs w:val="20"/>
        </w:rPr>
        <w:t xml:space="preserve">Lori </w:t>
      </w:r>
      <w:proofErr w:type="spellStart"/>
      <w:r w:rsidRPr="00C77190">
        <w:rPr>
          <w:kern w:val="16"/>
          <w:sz w:val="20"/>
          <w:szCs w:val="20"/>
        </w:rPr>
        <w:t>Wedeking</w:t>
      </w:r>
      <w:proofErr w:type="spellEnd"/>
      <w:r w:rsidRPr="00C77190">
        <w:rPr>
          <w:kern w:val="16"/>
          <w:sz w:val="20"/>
          <w:szCs w:val="20"/>
        </w:rPr>
        <w:t xml:space="preserve"> </w:t>
      </w:r>
    </w:p>
    <w:p w14:paraId="2D970FA2" w14:textId="77777777" w:rsidR="003C23E7" w:rsidRPr="00C77190" w:rsidRDefault="003C23E7" w:rsidP="003C23E7">
      <w:pPr>
        <w:pStyle w:val="BodyText"/>
        <w:spacing w:before="0"/>
        <w:rPr>
          <w:kern w:val="16"/>
          <w:sz w:val="20"/>
          <w:szCs w:val="20"/>
        </w:rPr>
      </w:pPr>
      <w:r>
        <w:rPr>
          <w:kern w:val="16"/>
          <w:sz w:val="20"/>
          <w:szCs w:val="20"/>
        </w:rPr>
        <w:t>Kay Weiss</w:t>
      </w:r>
    </w:p>
    <w:p w14:paraId="173F9531" w14:textId="77777777" w:rsidR="003C23E7" w:rsidRPr="00C77190" w:rsidRDefault="003C23E7" w:rsidP="003C23E7">
      <w:pPr>
        <w:pStyle w:val="BodyText"/>
        <w:spacing w:before="0"/>
        <w:rPr>
          <w:kern w:val="16"/>
          <w:sz w:val="20"/>
          <w:szCs w:val="20"/>
        </w:rPr>
      </w:pPr>
      <w:r w:rsidRPr="00C77190">
        <w:rPr>
          <w:kern w:val="16"/>
          <w:sz w:val="20"/>
          <w:szCs w:val="20"/>
        </w:rPr>
        <w:t xml:space="preserve">Marsha West </w:t>
      </w:r>
    </w:p>
    <w:p w14:paraId="7D4B3C62" w14:textId="77777777" w:rsidR="003C23E7" w:rsidRPr="00C77190" w:rsidRDefault="003C23E7" w:rsidP="003C23E7">
      <w:pPr>
        <w:pStyle w:val="BodyText"/>
        <w:spacing w:before="0"/>
        <w:rPr>
          <w:kern w:val="16"/>
          <w:sz w:val="20"/>
          <w:szCs w:val="20"/>
        </w:rPr>
      </w:pPr>
      <w:r w:rsidRPr="00C77190">
        <w:rPr>
          <w:kern w:val="16"/>
          <w:sz w:val="20"/>
          <w:szCs w:val="20"/>
        </w:rPr>
        <w:t xml:space="preserve">Dick Wexler </w:t>
      </w:r>
    </w:p>
    <w:p w14:paraId="4A5875A9" w14:textId="77777777" w:rsidR="003C23E7" w:rsidRPr="00C77190" w:rsidRDefault="003C23E7" w:rsidP="003C23E7">
      <w:pPr>
        <w:pStyle w:val="BodyText"/>
        <w:spacing w:before="0"/>
        <w:rPr>
          <w:kern w:val="16"/>
          <w:sz w:val="20"/>
          <w:szCs w:val="20"/>
        </w:rPr>
      </w:pPr>
      <w:r w:rsidRPr="00C77190">
        <w:rPr>
          <w:kern w:val="16"/>
          <w:sz w:val="20"/>
          <w:szCs w:val="20"/>
        </w:rPr>
        <w:t>Eric Witte</w:t>
      </w:r>
    </w:p>
    <w:p w14:paraId="3EA6AA30" w14:textId="77777777" w:rsidR="003C23E7" w:rsidRPr="00C77190" w:rsidRDefault="003C23E7" w:rsidP="003C23E7">
      <w:pPr>
        <w:pStyle w:val="BodyText"/>
        <w:spacing w:before="0"/>
        <w:rPr>
          <w:kern w:val="16"/>
          <w:sz w:val="20"/>
          <w:szCs w:val="20"/>
        </w:rPr>
      </w:pPr>
      <w:r w:rsidRPr="00C77190">
        <w:rPr>
          <w:kern w:val="16"/>
          <w:sz w:val="20"/>
          <w:szCs w:val="20"/>
        </w:rPr>
        <w:t>Brittany Wysokinski</w:t>
      </w:r>
    </w:p>
    <w:p w14:paraId="1ADBCC74" w14:textId="77777777" w:rsidR="003C23E7" w:rsidRPr="00C77190" w:rsidRDefault="003C23E7" w:rsidP="003C23E7">
      <w:pPr>
        <w:pStyle w:val="BodyText"/>
        <w:spacing w:before="0"/>
        <w:rPr>
          <w:kern w:val="16"/>
        </w:rPr>
        <w:sectPr w:rsidR="003C23E7" w:rsidRPr="00C77190" w:rsidSect="003C23E7">
          <w:type w:val="continuous"/>
          <w:pgSz w:w="12240" w:h="15840"/>
          <w:pgMar w:top="1440" w:right="1440" w:bottom="1440" w:left="1440" w:header="720" w:footer="720" w:gutter="0"/>
          <w:cols w:num="4" w:space="720"/>
          <w:docGrid w:linePitch="360"/>
        </w:sectPr>
      </w:pPr>
    </w:p>
    <w:p w14:paraId="7D3F4FE2" w14:textId="77777777" w:rsidR="003C23E7" w:rsidRPr="00C77190" w:rsidRDefault="003C23E7" w:rsidP="003C23E7">
      <w:pPr>
        <w:pStyle w:val="BodyText"/>
        <w:spacing w:before="0"/>
        <w:rPr>
          <w:kern w:val="16"/>
        </w:rPr>
        <w:sectPr w:rsidR="003C23E7" w:rsidRPr="00C77190" w:rsidSect="003C23E7">
          <w:type w:val="continuous"/>
          <w:pgSz w:w="12240" w:h="15840"/>
          <w:pgMar w:top="1440" w:right="1440" w:bottom="1440" w:left="1440" w:header="720" w:footer="720" w:gutter="0"/>
          <w:cols w:num="4" w:space="720"/>
          <w:docGrid w:linePitch="360"/>
        </w:sectPr>
      </w:pPr>
    </w:p>
    <w:p w14:paraId="00E897D4" w14:textId="77777777" w:rsidR="003C23E7" w:rsidRPr="00C77190" w:rsidRDefault="003C23E7" w:rsidP="003C23E7">
      <w:pPr>
        <w:pStyle w:val="BodyText"/>
        <w:spacing w:before="0"/>
        <w:rPr>
          <w:rFonts w:eastAsiaTheme="majorEastAsia"/>
          <w:kern w:val="16"/>
        </w:rPr>
      </w:pPr>
      <w:r w:rsidRPr="00C77190">
        <w:rPr>
          <w:kern w:val="16"/>
        </w:rPr>
        <w:br w:type="page"/>
      </w:r>
    </w:p>
    <w:p w14:paraId="0A158598" w14:textId="77777777" w:rsidR="003C23E7" w:rsidRPr="00C77190" w:rsidRDefault="003C23E7" w:rsidP="003C23E7">
      <w:pPr>
        <w:pStyle w:val="Heading1"/>
        <w:rPr>
          <w:kern w:val="16"/>
        </w:rPr>
      </w:pPr>
      <w:bookmarkStart w:id="11" w:name="_Toc123908412"/>
      <w:bookmarkStart w:id="12" w:name="_Toc187330559"/>
      <w:r w:rsidRPr="00C77190">
        <w:rPr>
          <w:kern w:val="16"/>
        </w:rPr>
        <w:lastRenderedPageBreak/>
        <w:t>Contacts</w:t>
      </w:r>
      <w:bookmarkEnd w:id="11"/>
      <w:bookmarkEnd w:id="12"/>
    </w:p>
    <w:p w14:paraId="76B2C912" w14:textId="0BA3BEB7" w:rsidR="003C23E7" w:rsidRPr="00512FF3" w:rsidRDefault="00512FF3" w:rsidP="003C23E7">
      <w:pPr>
        <w:pStyle w:val="BodyText"/>
        <w:spacing w:before="120"/>
        <w:rPr>
          <w:rStyle w:val="Hyperlink"/>
          <w:kern w:val="16"/>
        </w:rPr>
      </w:pPr>
      <w:r>
        <w:rPr>
          <w:kern w:val="16"/>
        </w:rPr>
        <w:fldChar w:fldCharType="begin"/>
      </w:r>
      <w:r>
        <w:rPr>
          <w:kern w:val="16"/>
        </w:rPr>
        <w:instrText>HYPERLINK "https://www.revisor.mn.gov/staff/"</w:instrText>
      </w:r>
      <w:r>
        <w:rPr>
          <w:kern w:val="16"/>
        </w:rPr>
      </w:r>
      <w:r>
        <w:rPr>
          <w:kern w:val="16"/>
        </w:rPr>
        <w:fldChar w:fldCharType="separate"/>
      </w:r>
      <w:r w:rsidR="003C23E7" w:rsidRPr="00512FF3">
        <w:rPr>
          <w:rStyle w:val="Hyperlink"/>
          <w:kern w:val="16"/>
        </w:rPr>
        <w:t xml:space="preserve">Revisor’s Office </w:t>
      </w:r>
      <w:r w:rsidRPr="00512FF3">
        <w:rPr>
          <w:rStyle w:val="Hyperlink"/>
          <w:kern w:val="16"/>
        </w:rPr>
        <w:t>(</w:t>
      </w:r>
      <w:r w:rsidRPr="00512FF3">
        <w:rPr>
          <w:rStyle w:val="Hyperlink"/>
          <w:rFonts w:eastAsiaTheme="majorEastAsia"/>
          <w:kern w:val="16"/>
        </w:rPr>
        <w:t>https://www.revisor.mn.gov/staff/)</w:t>
      </w:r>
    </w:p>
    <w:p w14:paraId="43D8A1DD" w14:textId="5A12DAD4" w:rsidR="003C23E7" w:rsidRPr="00C77190" w:rsidRDefault="00512FF3" w:rsidP="003C23E7">
      <w:pPr>
        <w:pStyle w:val="BodyText"/>
        <w:spacing w:before="120"/>
        <w:rPr>
          <w:kern w:val="16"/>
        </w:rPr>
      </w:pPr>
      <w:r>
        <w:rPr>
          <w:kern w:val="16"/>
        </w:rPr>
        <w:fldChar w:fldCharType="end"/>
      </w:r>
      <w:r w:rsidR="003C23E7" w:rsidRPr="00C77190">
        <w:rPr>
          <w:kern w:val="16"/>
        </w:rPr>
        <w:t>Governor’s Office Rules Coordinator</w:t>
      </w:r>
    </w:p>
    <w:p w14:paraId="68C66B88" w14:textId="77777777" w:rsidR="003C23E7" w:rsidRPr="00C77190" w:rsidRDefault="003C23E7" w:rsidP="003C23E7">
      <w:pPr>
        <w:pStyle w:val="RuleManualList"/>
        <w:rPr>
          <w:kern w:val="16"/>
        </w:rPr>
      </w:pPr>
      <w:r>
        <w:rPr>
          <w:kern w:val="16"/>
        </w:rPr>
        <w:t xml:space="preserve">Ella Schultz: </w:t>
      </w:r>
      <w:r w:rsidRPr="007353E5">
        <w:rPr>
          <w:kern w:val="16"/>
        </w:rPr>
        <w:t>ella.schultz@state.mn.us</w:t>
      </w:r>
      <w:r w:rsidRPr="00C77190">
        <w:rPr>
          <w:kern w:val="16"/>
        </w:rPr>
        <w:tab/>
      </w:r>
    </w:p>
    <w:p w14:paraId="1F182EDA" w14:textId="77777777" w:rsidR="003C23E7" w:rsidRPr="00C77190" w:rsidRDefault="003C23E7" w:rsidP="003C23E7">
      <w:pPr>
        <w:pStyle w:val="BodyText"/>
        <w:spacing w:before="120"/>
        <w:rPr>
          <w:kern w:val="16"/>
        </w:rPr>
      </w:pPr>
      <w:r w:rsidRPr="00C77190">
        <w:rPr>
          <w:kern w:val="16"/>
        </w:rPr>
        <w:t xml:space="preserve">Office of Administrative Hearings </w:t>
      </w:r>
    </w:p>
    <w:p w14:paraId="7DCA30FE" w14:textId="77777777" w:rsidR="003C23E7" w:rsidRPr="00C77190" w:rsidRDefault="003C23E7" w:rsidP="003C23E7">
      <w:pPr>
        <w:pStyle w:val="RuleManualList"/>
        <w:rPr>
          <w:kern w:val="16"/>
        </w:rPr>
      </w:pPr>
      <w:r w:rsidRPr="00C77190">
        <w:rPr>
          <w:kern w:val="16"/>
        </w:rPr>
        <w:t xml:space="preserve">William Moore, Administrative </w:t>
      </w:r>
      <w:proofErr w:type="gramStart"/>
      <w:r w:rsidRPr="00C77190">
        <w:rPr>
          <w:kern w:val="16"/>
        </w:rPr>
        <w:t>Rule</w:t>
      </w:r>
      <w:proofErr w:type="gramEnd"/>
      <w:r w:rsidRPr="00C77190">
        <w:rPr>
          <w:kern w:val="16"/>
        </w:rPr>
        <w:t xml:space="preserve"> and Applications Specialist: </w:t>
      </w:r>
      <w:hyperlink r:id="rId14" w:history="1">
        <w:r w:rsidRPr="00C77190">
          <w:rPr>
            <w:rStyle w:val="Hyperlink"/>
            <w:rFonts w:eastAsiaTheme="majorEastAsia"/>
            <w:kern w:val="16"/>
          </w:rPr>
          <w:t>william.t.moore@state.mn.us</w:t>
        </w:r>
      </w:hyperlink>
      <w:r w:rsidRPr="00C77190">
        <w:rPr>
          <w:kern w:val="16"/>
        </w:rPr>
        <w:t xml:space="preserve">; 651-361-7893 </w:t>
      </w:r>
    </w:p>
    <w:p w14:paraId="50C66B45" w14:textId="77777777" w:rsidR="003C23E7" w:rsidRPr="00C77190" w:rsidRDefault="003C23E7" w:rsidP="003C23E7">
      <w:pPr>
        <w:pStyle w:val="BodyText"/>
        <w:spacing w:before="120"/>
        <w:rPr>
          <w:kern w:val="16"/>
        </w:rPr>
      </w:pPr>
      <w:r w:rsidRPr="00C77190">
        <w:rPr>
          <w:kern w:val="16"/>
        </w:rPr>
        <w:t>Secretary of State</w:t>
      </w:r>
    </w:p>
    <w:p w14:paraId="670E1E97" w14:textId="77777777" w:rsidR="003C23E7" w:rsidRPr="00C77190" w:rsidRDefault="003C23E7" w:rsidP="003C23E7">
      <w:pPr>
        <w:pStyle w:val="RuleManualList"/>
        <w:rPr>
          <w:kern w:val="16"/>
        </w:rPr>
      </w:pPr>
      <w:r w:rsidRPr="00C77190">
        <w:rPr>
          <w:kern w:val="16"/>
        </w:rPr>
        <w:t xml:space="preserve">Official documents should be filed to: </w:t>
      </w:r>
      <w:hyperlink r:id="rId15">
        <w:r w:rsidRPr="00C77190">
          <w:rPr>
            <w:rStyle w:val="Hyperlink"/>
            <w:rFonts w:eastAsiaTheme="majorEastAsia"/>
            <w:kern w:val="16"/>
          </w:rPr>
          <w:t>Official.Documents@state.mn.us</w:t>
        </w:r>
      </w:hyperlink>
    </w:p>
    <w:p w14:paraId="23B86F9B" w14:textId="77777777" w:rsidR="003C23E7" w:rsidRPr="00C77190" w:rsidRDefault="003C23E7" w:rsidP="003C23E7">
      <w:pPr>
        <w:pStyle w:val="RuleManualList"/>
        <w:rPr>
          <w:kern w:val="16"/>
        </w:rPr>
      </w:pPr>
      <w:r w:rsidRPr="00C77190">
        <w:rPr>
          <w:kern w:val="16"/>
        </w:rPr>
        <w:t xml:space="preserve">Questions: </w:t>
      </w:r>
    </w:p>
    <w:p w14:paraId="759E6499" w14:textId="77777777" w:rsidR="003C23E7" w:rsidRPr="00B81E4B" w:rsidRDefault="003C23E7" w:rsidP="003C23E7">
      <w:pPr>
        <w:pStyle w:val="RuleManualList"/>
        <w:numPr>
          <w:ilvl w:val="1"/>
          <w:numId w:val="31"/>
        </w:numPr>
        <w:rPr>
          <w:kern w:val="16"/>
        </w:rPr>
      </w:pPr>
      <w:r>
        <w:rPr>
          <w:kern w:val="16"/>
        </w:rPr>
        <w:t>Sonya Smetana, Official Records and Data Practices Coordinator: sonya.smetana@state.mn.us</w:t>
      </w:r>
    </w:p>
    <w:p w14:paraId="588632DF" w14:textId="77777777" w:rsidR="003C23E7" w:rsidRPr="00B81E4B" w:rsidRDefault="003C23E7" w:rsidP="003C23E7">
      <w:pPr>
        <w:pStyle w:val="RuleManualList"/>
        <w:numPr>
          <w:ilvl w:val="1"/>
          <w:numId w:val="31"/>
        </w:numPr>
        <w:rPr>
          <w:kern w:val="16"/>
        </w:rPr>
      </w:pPr>
      <w:r w:rsidRPr="00B81E4B">
        <w:rPr>
          <w:kern w:val="16"/>
        </w:rPr>
        <w:t xml:space="preserve">Bibi Black, General Counsel: </w:t>
      </w:r>
      <w:hyperlink r:id="rId16" w:history="1">
        <w:r w:rsidRPr="00B81E4B">
          <w:rPr>
            <w:rStyle w:val="Hyperlink"/>
            <w:rFonts w:eastAsiaTheme="majorEastAsia"/>
            <w:kern w:val="16"/>
          </w:rPr>
          <w:t>bibi.black@state.mn.us</w:t>
        </w:r>
      </w:hyperlink>
      <w:r w:rsidRPr="00B81E4B">
        <w:rPr>
          <w:kern w:val="16"/>
        </w:rPr>
        <w:t xml:space="preserve">; 651-201-1326 </w:t>
      </w:r>
    </w:p>
    <w:p w14:paraId="2F5A876E" w14:textId="77777777" w:rsidR="003C23E7" w:rsidRPr="00C77190" w:rsidRDefault="003C23E7" w:rsidP="003C23E7">
      <w:pPr>
        <w:pStyle w:val="BodyText"/>
        <w:spacing w:before="120"/>
        <w:rPr>
          <w:kern w:val="16"/>
        </w:rPr>
      </w:pPr>
      <w:r w:rsidRPr="00C77190">
        <w:rPr>
          <w:i/>
          <w:kern w:val="16"/>
        </w:rPr>
        <w:t>State Register</w:t>
      </w:r>
    </w:p>
    <w:p w14:paraId="3F0A4873" w14:textId="77777777" w:rsidR="003C23E7" w:rsidRPr="00C77190" w:rsidRDefault="003C23E7" w:rsidP="003C23E7">
      <w:pPr>
        <w:pStyle w:val="RuleManualList"/>
        <w:rPr>
          <w:kern w:val="16"/>
        </w:rPr>
      </w:pPr>
      <w:r w:rsidRPr="00C77190">
        <w:rPr>
          <w:kern w:val="16"/>
        </w:rPr>
        <w:t xml:space="preserve">Sean Plemmons: </w:t>
      </w:r>
      <w:hyperlink r:id="rId17">
        <w:r w:rsidRPr="00C77190">
          <w:rPr>
            <w:rStyle w:val="Hyperlink"/>
            <w:rFonts w:eastAsiaTheme="majorEastAsia"/>
            <w:kern w:val="16"/>
          </w:rPr>
          <w:t>sean.plemmons@state.mn.us</w:t>
        </w:r>
      </w:hyperlink>
      <w:r w:rsidRPr="00C77190">
        <w:rPr>
          <w:kern w:val="16"/>
        </w:rPr>
        <w:t>; 651-201-3204</w:t>
      </w:r>
    </w:p>
    <w:p w14:paraId="088A342E" w14:textId="77777777" w:rsidR="003C23E7" w:rsidRPr="00C77190" w:rsidRDefault="003C23E7" w:rsidP="003C23E7">
      <w:pPr>
        <w:pStyle w:val="BodyText"/>
        <w:spacing w:before="120"/>
        <w:rPr>
          <w:kern w:val="16"/>
        </w:rPr>
      </w:pPr>
      <w:r w:rsidRPr="00C77190">
        <w:rPr>
          <w:kern w:val="16"/>
        </w:rPr>
        <w:t>Legislative Reference Library</w:t>
      </w:r>
    </w:p>
    <w:p w14:paraId="3900785E" w14:textId="77777777" w:rsidR="003C23E7" w:rsidRPr="00C77190" w:rsidRDefault="003C23E7" w:rsidP="003C23E7">
      <w:pPr>
        <w:pStyle w:val="RuleManualList"/>
        <w:rPr>
          <w:kern w:val="16"/>
        </w:rPr>
      </w:pPr>
      <w:r w:rsidRPr="00C77190">
        <w:rPr>
          <w:kern w:val="16"/>
        </w:rPr>
        <w:t xml:space="preserve">General email to send all reports: </w:t>
      </w:r>
      <w:hyperlink r:id="rId18" w:history="1">
        <w:r w:rsidRPr="00C77190">
          <w:rPr>
            <w:rStyle w:val="Hyperlink"/>
            <w:rFonts w:eastAsiaTheme="majorEastAsia"/>
            <w:kern w:val="16"/>
          </w:rPr>
          <w:t>reports@lrl.mn.gov</w:t>
        </w:r>
      </w:hyperlink>
      <w:r w:rsidRPr="00C77190">
        <w:rPr>
          <w:kern w:val="16"/>
        </w:rPr>
        <w:t xml:space="preserve"> </w:t>
      </w:r>
    </w:p>
    <w:p w14:paraId="621675B4" w14:textId="77777777" w:rsidR="003C23E7" w:rsidRPr="00C77190" w:rsidRDefault="003C23E7" w:rsidP="003C23E7">
      <w:pPr>
        <w:pStyle w:val="RuleManualList"/>
        <w:rPr>
          <w:kern w:val="16"/>
        </w:rPr>
      </w:pPr>
      <w:r w:rsidRPr="00C77190">
        <w:rPr>
          <w:kern w:val="16"/>
        </w:rPr>
        <w:t xml:space="preserve">Chris Steller: </w:t>
      </w:r>
      <w:hyperlink r:id="rId19" w:history="1">
        <w:r w:rsidRPr="00C77190">
          <w:rPr>
            <w:rStyle w:val="Hyperlink"/>
            <w:rFonts w:eastAsiaTheme="majorEastAsia"/>
            <w:kern w:val="16"/>
          </w:rPr>
          <w:t>chriss@lrl.mn.gov</w:t>
        </w:r>
      </w:hyperlink>
      <w:r w:rsidRPr="00C77190">
        <w:rPr>
          <w:kern w:val="16"/>
        </w:rPr>
        <w:t>; 651-296-0586</w:t>
      </w:r>
    </w:p>
    <w:p w14:paraId="12AE6624" w14:textId="77777777" w:rsidR="003C23E7" w:rsidRPr="00C77190" w:rsidRDefault="003C23E7" w:rsidP="003C23E7">
      <w:pPr>
        <w:pStyle w:val="BodyText"/>
        <w:spacing w:before="120"/>
        <w:rPr>
          <w:kern w:val="16"/>
        </w:rPr>
      </w:pPr>
      <w:r w:rsidRPr="00C77190">
        <w:rPr>
          <w:kern w:val="16"/>
        </w:rPr>
        <w:t xml:space="preserve">Legislative Coordinating Commission: </w:t>
      </w:r>
      <w:hyperlink r:id="rId20" w:history="1">
        <w:r w:rsidRPr="00C77190">
          <w:rPr>
            <w:rStyle w:val="Hyperlink"/>
            <w:rFonts w:eastAsiaTheme="majorEastAsia"/>
            <w:kern w:val="16"/>
          </w:rPr>
          <w:t>lcc@lcc.leg.mn</w:t>
        </w:r>
      </w:hyperlink>
    </w:p>
    <w:p w14:paraId="47912E32" w14:textId="77777777" w:rsidR="003C23E7" w:rsidRPr="00C77190" w:rsidRDefault="003C23E7" w:rsidP="003C23E7">
      <w:pPr>
        <w:pStyle w:val="BodyText"/>
        <w:spacing w:before="120"/>
        <w:rPr>
          <w:kern w:val="16"/>
        </w:rPr>
      </w:pPr>
      <w:r w:rsidRPr="00C77190">
        <w:rPr>
          <w:kern w:val="16"/>
        </w:rPr>
        <w:t>Department of Agriculture</w:t>
      </w:r>
    </w:p>
    <w:p w14:paraId="27A61A11" w14:textId="77777777" w:rsidR="003C23E7" w:rsidRPr="00C77190" w:rsidRDefault="003C23E7" w:rsidP="003C23E7">
      <w:pPr>
        <w:pStyle w:val="RuleManualList"/>
        <w:rPr>
          <w:kern w:val="16"/>
        </w:rPr>
      </w:pPr>
      <w:r w:rsidRPr="00C77190">
        <w:rPr>
          <w:kern w:val="16"/>
        </w:rPr>
        <w:t xml:space="preserve">Doug Spanier: </w:t>
      </w:r>
      <w:hyperlink r:id="rId21">
        <w:r w:rsidRPr="00C77190">
          <w:rPr>
            <w:rStyle w:val="Hyperlink"/>
            <w:rFonts w:eastAsiaTheme="majorEastAsia"/>
            <w:kern w:val="16"/>
          </w:rPr>
          <w:t>douglas.spanier@state.mn.us</w:t>
        </w:r>
      </w:hyperlink>
      <w:r w:rsidRPr="00C77190">
        <w:rPr>
          <w:kern w:val="16"/>
        </w:rPr>
        <w:t>; 651-201-6166</w:t>
      </w:r>
    </w:p>
    <w:p w14:paraId="2A42D937" w14:textId="77777777" w:rsidR="003C23E7" w:rsidRPr="00C77190" w:rsidRDefault="003C23E7" w:rsidP="003C23E7">
      <w:pPr>
        <w:pStyle w:val="BodyText"/>
        <w:spacing w:before="120"/>
        <w:rPr>
          <w:kern w:val="16"/>
        </w:rPr>
      </w:pPr>
      <w:r w:rsidRPr="00C77190">
        <w:rPr>
          <w:kern w:val="16"/>
        </w:rPr>
        <w:t>Rulemaking Help Desk</w:t>
      </w:r>
    </w:p>
    <w:p w14:paraId="6193E10E" w14:textId="77777777" w:rsidR="003C23E7" w:rsidRDefault="003C23E7" w:rsidP="003C23E7">
      <w:pPr>
        <w:pStyle w:val="RuleManualList"/>
        <w:rPr>
          <w:kern w:val="16"/>
        </w:rPr>
      </w:pPr>
      <w:r>
        <w:rPr>
          <w:kern w:val="16"/>
        </w:rPr>
        <w:t>Andi</w:t>
      </w:r>
      <w:r w:rsidRPr="00C77190">
        <w:rPr>
          <w:kern w:val="16"/>
        </w:rPr>
        <w:t xml:space="preserve"> Barker, Department of Transportation: </w:t>
      </w:r>
      <w:hyperlink r:id="rId22">
        <w:r w:rsidRPr="00C77190">
          <w:rPr>
            <w:rStyle w:val="Hyperlink"/>
            <w:rFonts w:eastAsiaTheme="majorEastAsia"/>
            <w:kern w:val="16"/>
          </w:rPr>
          <w:t>andrea.barker@state.mn.us</w:t>
        </w:r>
      </w:hyperlink>
      <w:r w:rsidRPr="00C77190">
        <w:rPr>
          <w:kern w:val="16"/>
        </w:rPr>
        <w:t xml:space="preserve"> or via Teams chat</w:t>
      </w:r>
    </w:p>
    <w:p w14:paraId="012DBA45" w14:textId="77777777" w:rsidR="003C23E7" w:rsidRPr="00C77190" w:rsidRDefault="003C23E7" w:rsidP="003C23E7">
      <w:pPr>
        <w:pStyle w:val="RuleManualList"/>
        <w:rPr>
          <w:kern w:val="16"/>
        </w:rPr>
      </w:pPr>
      <w:r>
        <w:rPr>
          <w:kern w:val="16"/>
        </w:rPr>
        <w:t xml:space="preserve">Ian Lewenstein, Department of Corrections: </w:t>
      </w:r>
      <w:hyperlink r:id="rId23" w:history="1">
        <w:r w:rsidRPr="00CB6339">
          <w:rPr>
            <w:rStyle w:val="Hyperlink"/>
            <w:rFonts w:eastAsiaTheme="majorEastAsia"/>
            <w:kern w:val="16"/>
          </w:rPr>
          <w:t>ian.lewenstein@state.mn.us</w:t>
        </w:r>
      </w:hyperlink>
      <w:r>
        <w:rPr>
          <w:kern w:val="16"/>
        </w:rPr>
        <w:t xml:space="preserve"> or via Teams chat </w:t>
      </w:r>
    </w:p>
    <w:p w14:paraId="524F96EC" w14:textId="77777777" w:rsidR="003C23E7" w:rsidRPr="00BD4F0D" w:rsidRDefault="003C23E7" w:rsidP="003C23E7">
      <w:pPr>
        <w:pStyle w:val="BodyText"/>
        <w:spacing w:before="120"/>
        <w:rPr>
          <w:kern w:val="16"/>
        </w:rPr>
      </w:pPr>
      <w:r w:rsidRPr="00BD4F0D">
        <w:rPr>
          <w:kern w:val="16"/>
        </w:rPr>
        <w:t>IRC Teams Site</w:t>
      </w:r>
    </w:p>
    <w:p w14:paraId="525DBBDE" w14:textId="77777777" w:rsidR="003C23E7" w:rsidRPr="00C77190" w:rsidRDefault="003C23E7" w:rsidP="003C23E7">
      <w:pPr>
        <w:pStyle w:val="RuleManualList"/>
      </w:pPr>
      <w:r>
        <w:t xml:space="preserve">Celeste Marin: </w:t>
      </w:r>
      <w:hyperlink r:id="rId24" w:history="1">
        <w:r w:rsidRPr="002431DF">
          <w:rPr>
            <w:rStyle w:val="Hyperlink"/>
            <w:rFonts w:eastAsiaTheme="majorEastAsia"/>
          </w:rPr>
          <w:t>celeste.marin@state.mn.us</w:t>
        </w:r>
      </w:hyperlink>
      <w:r w:rsidRPr="00C77190">
        <w:br w:type="page"/>
      </w:r>
    </w:p>
    <w:p w14:paraId="1DFD78ED" w14:textId="77777777" w:rsidR="00AA7141" w:rsidRPr="00C77190" w:rsidRDefault="00AA7141" w:rsidP="00AA7141">
      <w:pPr>
        <w:pStyle w:val="Heading1"/>
        <w:rPr>
          <w:kern w:val="16"/>
        </w:rPr>
      </w:pPr>
      <w:r w:rsidRPr="00C77190">
        <w:rPr>
          <w:kern w:val="16"/>
        </w:rPr>
        <w:lastRenderedPageBreak/>
        <w:t xml:space="preserve">Chapter 1 </w:t>
      </w:r>
      <w:r>
        <w:rPr>
          <w:kern w:val="16"/>
        </w:rPr>
        <w:t>-</w:t>
      </w:r>
      <w:r w:rsidRPr="00C77190">
        <w:rPr>
          <w:kern w:val="16"/>
        </w:rPr>
        <w:t xml:space="preserve"> Rulemaking in General</w:t>
      </w:r>
      <w:bookmarkEnd w:id="5"/>
      <w:bookmarkEnd w:id="6"/>
    </w:p>
    <w:p w14:paraId="2014EF0C" w14:textId="77777777" w:rsidR="00AA7141" w:rsidRPr="00C77190" w:rsidRDefault="00AA7141" w:rsidP="00AA7141">
      <w:pPr>
        <w:pStyle w:val="Heading2"/>
        <w:rPr>
          <w:kern w:val="16"/>
        </w:rPr>
      </w:pPr>
      <w:bookmarkStart w:id="13" w:name="_Toc123908414"/>
      <w:r w:rsidRPr="00C77190">
        <w:rPr>
          <w:kern w:val="16"/>
        </w:rPr>
        <w:t>Introduction</w:t>
      </w:r>
      <w:bookmarkEnd w:id="13"/>
    </w:p>
    <w:p w14:paraId="5E2355C1" w14:textId="77777777" w:rsidR="00AA7141" w:rsidRPr="00C77190" w:rsidRDefault="00AA7141" w:rsidP="00AA7141">
      <w:pPr>
        <w:pStyle w:val="BodyText"/>
        <w:rPr>
          <w:kern w:val="16"/>
        </w:rPr>
      </w:pPr>
      <w:r w:rsidRPr="00C77190">
        <w:rPr>
          <w:kern w:val="16"/>
        </w:rPr>
        <w:t>This chapter briefly describes the legal basis for rulemaking and the history of the Minnesota Administrative Procedure Act (APA),</w:t>
      </w:r>
      <w:r w:rsidRPr="00C77190">
        <w:rPr>
          <w:rStyle w:val="FootnoteReference"/>
          <w:kern w:val="16"/>
        </w:rPr>
        <w:footnoteReference w:id="1"/>
      </w:r>
      <w:r w:rsidRPr="00C77190">
        <w:rPr>
          <w:kern w:val="16"/>
        </w:rPr>
        <w:t xml:space="preserve"> lists ongoing rule management responsibilities, and provides information about an informal group of state agency rule staff and a rule help desk. </w:t>
      </w:r>
    </w:p>
    <w:p w14:paraId="0C9DC860" w14:textId="77777777" w:rsidR="00AA7141" w:rsidRPr="00C77190" w:rsidRDefault="00AA7141" w:rsidP="00AA7141">
      <w:pPr>
        <w:pStyle w:val="Heading3"/>
        <w:rPr>
          <w:kern w:val="16"/>
        </w:rPr>
      </w:pPr>
      <w:bookmarkStart w:id="14" w:name="_Toc123908415"/>
      <w:r w:rsidRPr="00C77190">
        <w:rPr>
          <w:kern w:val="16"/>
        </w:rPr>
        <w:t>On the web</w:t>
      </w:r>
      <w:bookmarkEnd w:id="14"/>
    </w:p>
    <w:p w14:paraId="1C1CB6A3" w14:textId="77777777" w:rsidR="00AA7141" w:rsidRPr="00C77190" w:rsidRDefault="00AA7141" w:rsidP="00AA7141">
      <w:pPr>
        <w:pStyle w:val="BodyText"/>
        <w:rPr>
          <w:kern w:val="16"/>
        </w:rPr>
      </w:pPr>
      <w:r w:rsidRPr="00C77190">
        <w:rPr>
          <w:kern w:val="16"/>
        </w:rPr>
        <w:t xml:space="preserve">The Manual can be found online at </w:t>
      </w:r>
      <w:hyperlink r:id="rId25" w:history="1">
        <w:r w:rsidRPr="008573F1">
          <w:rPr>
            <w:rStyle w:val="Hyperlink"/>
            <w:rFonts w:eastAsiaTheme="majorEastAsia"/>
            <w:kern w:val="16"/>
          </w:rPr>
          <w:t>MDH Rulemaking (https://www.health.state.mn.us/data/rules/index.html)</w:t>
        </w:r>
      </w:hyperlink>
      <w:r w:rsidRPr="00C77190">
        <w:rPr>
          <w:kern w:val="16"/>
        </w:rPr>
        <w:t>. It is available in Adobe Acrobat and Microsoft Word.</w:t>
      </w:r>
    </w:p>
    <w:p w14:paraId="149741B1" w14:textId="77777777" w:rsidR="00AA7141" w:rsidRPr="00C77190" w:rsidRDefault="00AA7141" w:rsidP="00AA7141">
      <w:pPr>
        <w:pStyle w:val="Heading3"/>
        <w:rPr>
          <w:kern w:val="16"/>
        </w:rPr>
      </w:pPr>
      <w:bookmarkStart w:id="15" w:name="_Toc123908416"/>
      <w:r w:rsidRPr="00C77190">
        <w:rPr>
          <w:kern w:val="16"/>
        </w:rPr>
        <w:t>Accessibility</w:t>
      </w:r>
      <w:bookmarkEnd w:id="15"/>
    </w:p>
    <w:p w14:paraId="09BFD8CE" w14:textId="77777777" w:rsidR="00AA7141" w:rsidRPr="00C77190" w:rsidRDefault="00AA7141" w:rsidP="00AA7141">
      <w:pPr>
        <w:pStyle w:val="BodyText"/>
        <w:rPr>
          <w:kern w:val="16"/>
        </w:rPr>
      </w:pPr>
      <w:r w:rsidRPr="00C77190">
        <w:rPr>
          <w:kern w:val="16"/>
        </w:rPr>
        <w:t>Minnesota law requires all state documents to be accessible to all individuals. A document or application is considered accessible if it meets certain technical criteria and can be used by people with disabilities. This includes access by people who are mobility impaired, blind, low vision, deaf, or hard of hearing, or who have cognitive impairments. We believe all documents that make up this Manual meet these state standards. See your agency’s accessibility coordinator for further information or if you believe that these documents require further changes to make them accessible.</w:t>
      </w:r>
    </w:p>
    <w:p w14:paraId="1FECFE7A" w14:textId="77777777" w:rsidR="00AA7141" w:rsidRPr="00C77190" w:rsidRDefault="00AA7141" w:rsidP="00AA7141">
      <w:pPr>
        <w:pStyle w:val="BodyText"/>
        <w:rPr>
          <w:kern w:val="16"/>
        </w:rPr>
      </w:pPr>
      <w:r w:rsidRPr="00C77190">
        <w:rPr>
          <w:b/>
          <w:bCs/>
          <w:kern w:val="16"/>
        </w:rPr>
        <w:t>Note:</w:t>
      </w:r>
      <w:r w:rsidRPr="00C77190">
        <w:rPr>
          <w:kern w:val="16"/>
        </w:rPr>
        <w:t xml:space="preserve"> All documents that you plan to post on OAH’s eComments page must be accessible. OAH will not post documents that are not accessible.</w:t>
      </w:r>
      <w:r>
        <w:rPr>
          <w:kern w:val="16"/>
        </w:rPr>
        <w:t xml:space="preserve"> The only exception is the rule draft received from the Revisor.</w:t>
      </w:r>
    </w:p>
    <w:p w14:paraId="61EB452B" w14:textId="77777777" w:rsidR="00AA7141" w:rsidRPr="00C77190" w:rsidRDefault="00AA7141" w:rsidP="00AA7141">
      <w:pPr>
        <w:pStyle w:val="Heading3"/>
        <w:rPr>
          <w:kern w:val="16"/>
        </w:rPr>
      </w:pPr>
      <w:bookmarkStart w:id="16" w:name="_Toc123908417"/>
      <w:r w:rsidRPr="00C77190">
        <w:rPr>
          <w:kern w:val="16"/>
        </w:rPr>
        <w:t>Plain language</w:t>
      </w:r>
      <w:bookmarkEnd w:id="16"/>
    </w:p>
    <w:p w14:paraId="19C95AF7" w14:textId="77777777" w:rsidR="00AA7141" w:rsidRPr="00C77190" w:rsidRDefault="00AA7141" w:rsidP="00AA7141">
      <w:pPr>
        <w:pStyle w:val="BodyText"/>
        <w:rPr>
          <w:kern w:val="16"/>
        </w:rPr>
      </w:pPr>
      <w:r w:rsidRPr="00C77190">
        <w:rPr>
          <w:kern w:val="16"/>
        </w:rPr>
        <w:t>Executive Order 19-29 requires state agencies to use plain language “to communicate with Minnesotans.”</w:t>
      </w:r>
      <w:r w:rsidRPr="00C77190">
        <w:rPr>
          <w:rStyle w:val="FootnoteReference"/>
          <w:kern w:val="16"/>
        </w:rPr>
        <w:footnoteReference w:id="2"/>
      </w:r>
      <w:r w:rsidRPr="00C77190">
        <w:rPr>
          <w:kern w:val="16"/>
        </w:rPr>
        <w:t xml:space="preserve"> According to the order, “Plain Language is a communication which an audience can understand the first time they read or hear it.”</w:t>
      </w:r>
      <w:r w:rsidRPr="00C77190">
        <w:rPr>
          <w:rStyle w:val="FootnoteReference"/>
          <w:kern w:val="16"/>
        </w:rPr>
        <w:footnoteReference w:id="3"/>
      </w:r>
      <w:r w:rsidRPr="00C77190">
        <w:rPr>
          <w:kern w:val="16"/>
        </w:rPr>
        <w:t xml:space="preserve">  </w:t>
      </w:r>
    </w:p>
    <w:p w14:paraId="5CB36F20" w14:textId="77777777" w:rsidR="00AA7141" w:rsidRPr="00C77190" w:rsidRDefault="00AA7141" w:rsidP="00AA7141">
      <w:pPr>
        <w:pStyle w:val="BodyText"/>
        <w:rPr>
          <w:kern w:val="16"/>
        </w:rPr>
      </w:pPr>
      <w:r w:rsidRPr="00C77190">
        <w:rPr>
          <w:kern w:val="16"/>
        </w:rPr>
        <w:t xml:space="preserve">Whenever agencies communicate with the public, including when they publish rule-related legal documents under the APA, they must adhere to the executive order. There are also important practical reasons to embrace plain language. </w:t>
      </w:r>
    </w:p>
    <w:p w14:paraId="6ABAFDB5" w14:textId="77777777" w:rsidR="00AA7141" w:rsidRPr="00C77190" w:rsidRDefault="00AA7141" w:rsidP="00AA7141">
      <w:pPr>
        <w:pStyle w:val="BodyText"/>
        <w:rPr>
          <w:kern w:val="16"/>
        </w:rPr>
      </w:pPr>
      <w:r w:rsidRPr="00C77190">
        <w:rPr>
          <w:kern w:val="16"/>
        </w:rPr>
        <w:lastRenderedPageBreak/>
        <w:t xml:space="preserve">First, plain language can help you avoid most of the ambiguity and vagueness that plagues legalese. For rules, ambiguity and unconstitutional vagueness can result in rule defects. Second, plain language engenders trust among agency stakeholders and the public. Why? Because plain language clearly communicates what you are trying to say. If people can understand what you are saying the first time that they read your SONAR, rules, etc., the more they will trust you, even if they disagree. Third, if people can understand your rules, the more likely that they can—and will—comply; and it’s also more likely that you will be able to understand what you as an agency need to enforce. And fourth, there is mounting evidence that people prefer and want plain language because it reduces frustration among readers, especially those needing to comply with rule requirements.  </w:t>
      </w:r>
    </w:p>
    <w:p w14:paraId="22A3F5DA" w14:textId="266B2134" w:rsidR="00AA7141" w:rsidRPr="00C77190" w:rsidRDefault="00AA7141" w:rsidP="00AA7141">
      <w:pPr>
        <w:pStyle w:val="BodyText"/>
        <w:rPr>
          <w:kern w:val="16"/>
        </w:rPr>
      </w:pPr>
      <w:r w:rsidRPr="00C77190">
        <w:rPr>
          <w:kern w:val="16"/>
        </w:rPr>
        <w:t xml:space="preserve">There are many resources on plain-language best practices, but a good place to start is the </w:t>
      </w:r>
      <w:hyperlink r:id="rId26" w:tooltip="Center's website" w:history="1">
        <w:r w:rsidR="001D7E7B">
          <w:rPr>
            <w:rStyle w:val="Hyperlink"/>
            <w:rFonts w:eastAsiaTheme="majorEastAsia"/>
            <w:kern w:val="16"/>
          </w:rPr>
          <w:t>Center for Plain Language (https://centerforplainlanguage.org/)</w:t>
        </w:r>
      </w:hyperlink>
      <w:r w:rsidRPr="001D7E7B">
        <w:rPr>
          <w:rStyle w:val="Hyperlink"/>
          <w:rFonts w:eastAsiaTheme="majorEastAsia"/>
          <w:color w:val="auto"/>
          <w:kern w:val="16"/>
          <w:u w:val="none"/>
        </w:rPr>
        <w:t xml:space="preserve">, </w:t>
      </w:r>
      <w:hyperlink r:id="rId27" w:history="1">
        <w:r w:rsidR="001D7E7B">
          <w:rPr>
            <w:rStyle w:val="Hyperlink"/>
            <w:rFonts w:eastAsiaTheme="majorEastAsia"/>
            <w:kern w:val="16"/>
          </w:rPr>
          <w:t>Clarity (https://www.clarity-international.org/)</w:t>
        </w:r>
      </w:hyperlink>
      <w:r w:rsidRPr="001D7E7B">
        <w:rPr>
          <w:rStyle w:val="Hyperlink"/>
          <w:rFonts w:eastAsiaTheme="majorEastAsia"/>
          <w:color w:val="auto"/>
          <w:kern w:val="16"/>
        </w:rPr>
        <w:t>,</w:t>
      </w:r>
      <w:r w:rsidRPr="001D7E7B">
        <w:rPr>
          <w:kern w:val="16"/>
        </w:rPr>
        <w:t xml:space="preserve"> </w:t>
      </w:r>
      <w:r w:rsidRPr="00C77190">
        <w:rPr>
          <w:kern w:val="16"/>
        </w:rPr>
        <w:t xml:space="preserve">or the Michigan Bar Journal’s </w:t>
      </w:r>
      <w:hyperlink r:id="rId28" w:tooltip="Column archive" w:history="1">
        <w:r w:rsidR="001D7E7B">
          <w:rPr>
            <w:rStyle w:val="Hyperlink"/>
            <w:rFonts w:eastAsiaTheme="majorEastAsia"/>
            <w:kern w:val="16"/>
          </w:rPr>
          <w:t>Plain Language column (https://www.michbar.org/generalinfo/plainenglish/home)</w:t>
        </w:r>
      </w:hyperlink>
      <w:r w:rsidRPr="00C77190">
        <w:rPr>
          <w:kern w:val="16"/>
        </w:rPr>
        <w:t>.</w:t>
      </w:r>
    </w:p>
    <w:p w14:paraId="071B71A8" w14:textId="77777777" w:rsidR="00AA7141" w:rsidRPr="00C77190" w:rsidRDefault="00AA7141" w:rsidP="00AA7141">
      <w:pPr>
        <w:pStyle w:val="BodyText"/>
        <w:rPr>
          <w:kern w:val="16"/>
        </w:rPr>
      </w:pPr>
      <w:r w:rsidRPr="00C77190">
        <w:rPr>
          <w:kern w:val="16"/>
        </w:rPr>
        <w:t xml:space="preserve">You can also read the articles and books of leading plain-language advocates such as Joseph Kimble, David </w:t>
      </w:r>
      <w:proofErr w:type="spellStart"/>
      <w:r w:rsidRPr="00C77190">
        <w:rPr>
          <w:kern w:val="16"/>
        </w:rPr>
        <w:t>Mellinkoff</w:t>
      </w:r>
      <w:proofErr w:type="spellEnd"/>
      <w:r w:rsidRPr="00C77190">
        <w:rPr>
          <w:kern w:val="16"/>
        </w:rPr>
        <w:t xml:space="preserve">, Joseph Williams, Michele Asprey, and Richard </w:t>
      </w:r>
      <w:proofErr w:type="spellStart"/>
      <w:r w:rsidRPr="00C77190">
        <w:rPr>
          <w:kern w:val="16"/>
        </w:rPr>
        <w:t>Wydick</w:t>
      </w:r>
      <w:proofErr w:type="spellEnd"/>
      <w:r w:rsidRPr="00C77190">
        <w:rPr>
          <w:kern w:val="16"/>
        </w:rPr>
        <w:t>.</w:t>
      </w:r>
    </w:p>
    <w:p w14:paraId="42E3FC1E" w14:textId="77777777" w:rsidR="00AA7141" w:rsidRPr="00C77190" w:rsidRDefault="00AA7141" w:rsidP="00AA7141">
      <w:pPr>
        <w:pStyle w:val="Heading2"/>
        <w:rPr>
          <w:kern w:val="16"/>
        </w:rPr>
      </w:pPr>
      <w:bookmarkStart w:id="17" w:name="_Toc123908418"/>
      <w:r w:rsidRPr="00C77190">
        <w:rPr>
          <w:kern w:val="16"/>
        </w:rPr>
        <w:t>1.1 What this Manual Covers and What it Does Not Cover</w:t>
      </w:r>
      <w:bookmarkEnd w:id="17"/>
    </w:p>
    <w:p w14:paraId="3F4BECAE" w14:textId="77777777" w:rsidR="00AA7141" w:rsidRDefault="00AA7141" w:rsidP="00AA7141">
      <w:pPr>
        <w:pStyle w:val="BodyText"/>
        <w:rPr>
          <w:kern w:val="16"/>
        </w:rPr>
      </w:pPr>
      <w:r w:rsidRPr="00C77190">
        <w:rPr>
          <w:kern w:val="16"/>
        </w:rPr>
        <w:t>This Manual covers the development and adoption of rules that follow the main process in Minnesota Statutes, chapter 14. This Manual also covers the adoption of exempt rules under sections 14.386 and 14.388, the expedited process for adopting rules in section 14.389, and the shortened process for repealing obsolete rules under section 14.3895. This Manual does not cover how to handle rulemaking petitions or variances to rules.</w:t>
      </w:r>
    </w:p>
    <w:p w14:paraId="5EC3AA9F" w14:textId="77777777" w:rsidR="00AA7141" w:rsidRDefault="00AA7141" w:rsidP="00AA7141">
      <w:pPr>
        <w:pStyle w:val="Heading3"/>
        <w:spacing w:after="240"/>
        <w:jc w:val="center"/>
      </w:pPr>
      <w:r>
        <w:t>Rulemaking Processes Comparison Chart</w:t>
      </w:r>
    </w:p>
    <w:tbl>
      <w:tblPr>
        <w:tblStyle w:val="TableGrid"/>
        <w:tblW w:w="10075" w:type="dxa"/>
        <w:tblLayout w:type="fixed"/>
        <w:tblLook w:val="04A0" w:firstRow="1" w:lastRow="0" w:firstColumn="1" w:lastColumn="0" w:noHBand="0" w:noVBand="1"/>
      </w:tblPr>
      <w:tblGrid>
        <w:gridCol w:w="4045"/>
        <w:gridCol w:w="1440"/>
        <w:gridCol w:w="1260"/>
        <w:gridCol w:w="1080"/>
        <w:gridCol w:w="1350"/>
        <w:gridCol w:w="900"/>
      </w:tblGrid>
      <w:tr w:rsidR="00AA7141" w14:paraId="44F13E02" w14:textId="77777777" w:rsidTr="00055154">
        <w:trPr>
          <w:tblHeader/>
        </w:trPr>
        <w:tc>
          <w:tcPr>
            <w:tcW w:w="4045" w:type="dxa"/>
          </w:tcPr>
          <w:p w14:paraId="137586AF" w14:textId="77777777" w:rsidR="00AA7141" w:rsidRPr="008333DE" w:rsidRDefault="00AA7141" w:rsidP="00055154">
            <w:pPr>
              <w:spacing w:before="60"/>
              <w:jc w:val="center"/>
              <w:rPr>
                <w:b/>
                <w:bCs/>
                <w:sz w:val="20"/>
                <w:szCs w:val="20"/>
              </w:rPr>
            </w:pPr>
            <w:r w:rsidRPr="008333DE">
              <w:rPr>
                <w:b/>
                <w:bCs/>
                <w:sz w:val="20"/>
                <w:szCs w:val="20"/>
              </w:rPr>
              <w:t>Rule Process Type</w:t>
            </w:r>
          </w:p>
        </w:tc>
        <w:tc>
          <w:tcPr>
            <w:tcW w:w="1440" w:type="dxa"/>
          </w:tcPr>
          <w:p w14:paraId="1EBC90CA" w14:textId="77777777" w:rsidR="00AA7141" w:rsidRPr="008333DE" w:rsidRDefault="00AA7141" w:rsidP="00055154">
            <w:pPr>
              <w:spacing w:before="60"/>
              <w:jc w:val="center"/>
              <w:rPr>
                <w:sz w:val="20"/>
                <w:szCs w:val="20"/>
              </w:rPr>
            </w:pPr>
            <w:r w:rsidRPr="008333DE">
              <w:rPr>
                <w:b/>
                <w:bCs/>
                <w:sz w:val="20"/>
                <w:szCs w:val="20"/>
              </w:rPr>
              <w:t xml:space="preserve">Max Duration </w:t>
            </w:r>
            <w:r w:rsidRPr="00186056">
              <w:rPr>
                <w:sz w:val="16"/>
                <w:szCs w:val="16"/>
              </w:rPr>
              <w:t>(unless otherwise specified in law)</w:t>
            </w:r>
          </w:p>
        </w:tc>
        <w:tc>
          <w:tcPr>
            <w:tcW w:w="1260" w:type="dxa"/>
          </w:tcPr>
          <w:p w14:paraId="430B451D" w14:textId="77777777" w:rsidR="00AA7141" w:rsidRPr="008333DE" w:rsidRDefault="00AA7141" w:rsidP="00055154">
            <w:pPr>
              <w:spacing w:before="60"/>
              <w:jc w:val="center"/>
              <w:rPr>
                <w:b/>
                <w:bCs/>
                <w:sz w:val="20"/>
                <w:szCs w:val="20"/>
              </w:rPr>
            </w:pPr>
            <w:r w:rsidRPr="008333DE">
              <w:rPr>
                <w:b/>
                <w:bCs/>
                <w:sz w:val="20"/>
                <w:szCs w:val="20"/>
              </w:rPr>
              <w:t>Formal Public Hearing</w:t>
            </w:r>
          </w:p>
        </w:tc>
        <w:tc>
          <w:tcPr>
            <w:tcW w:w="1080" w:type="dxa"/>
          </w:tcPr>
          <w:p w14:paraId="22673810" w14:textId="77777777" w:rsidR="00AA7141" w:rsidRPr="008333DE" w:rsidRDefault="00AA7141" w:rsidP="00055154">
            <w:pPr>
              <w:spacing w:before="60"/>
              <w:jc w:val="center"/>
              <w:rPr>
                <w:b/>
                <w:bCs/>
                <w:sz w:val="20"/>
                <w:szCs w:val="20"/>
              </w:rPr>
            </w:pPr>
            <w:r w:rsidRPr="008333DE">
              <w:rPr>
                <w:b/>
                <w:bCs/>
                <w:sz w:val="20"/>
                <w:szCs w:val="20"/>
              </w:rPr>
              <w:t>Public Comment Period</w:t>
            </w:r>
          </w:p>
        </w:tc>
        <w:tc>
          <w:tcPr>
            <w:tcW w:w="1350" w:type="dxa"/>
          </w:tcPr>
          <w:p w14:paraId="6CDE7F13" w14:textId="77777777" w:rsidR="00AA7141" w:rsidRPr="008333DE" w:rsidRDefault="00AA7141" w:rsidP="00055154">
            <w:pPr>
              <w:spacing w:before="60"/>
              <w:jc w:val="center"/>
              <w:rPr>
                <w:b/>
                <w:bCs/>
                <w:sz w:val="20"/>
                <w:szCs w:val="20"/>
              </w:rPr>
            </w:pPr>
            <w:r w:rsidRPr="008333DE">
              <w:rPr>
                <w:b/>
                <w:bCs/>
                <w:sz w:val="20"/>
                <w:szCs w:val="20"/>
              </w:rPr>
              <w:t>A</w:t>
            </w:r>
            <w:r>
              <w:rPr>
                <w:b/>
                <w:bCs/>
                <w:sz w:val="20"/>
                <w:szCs w:val="20"/>
              </w:rPr>
              <w:t xml:space="preserve">LJ </w:t>
            </w:r>
            <w:r w:rsidRPr="008333DE">
              <w:rPr>
                <w:b/>
                <w:bCs/>
                <w:sz w:val="20"/>
                <w:szCs w:val="20"/>
              </w:rPr>
              <w:t>Approval as to Legality</w:t>
            </w:r>
          </w:p>
        </w:tc>
        <w:tc>
          <w:tcPr>
            <w:tcW w:w="900" w:type="dxa"/>
          </w:tcPr>
          <w:p w14:paraId="2EBDDDC3" w14:textId="77777777" w:rsidR="00AA7141" w:rsidRPr="008333DE" w:rsidRDefault="00AA7141" w:rsidP="00055154">
            <w:pPr>
              <w:spacing w:before="60"/>
              <w:jc w:val="center"/>
              <w:rPr>
                <w:b/>
                <w:bCs/>
                <w:sz w:val="20"/>
                <w:szCs w:val="20"/>
              </w:rPr>
            </w:pPr>
            <w:r w:rsidRPr="008333DE">
              <w:rPr>
                <w:b/>
                <w:bCs/>
                <w:sz w:val="20"/>
                <w:szCs w:val="20"/>
              </w:rPr>
              <w:t>Subject to Veto</w:t>
            </w:r>
          </w:p>
        </w:tc>
      </w:tr>
      <w:tr w:rsidR="00AA7141" w14:paraId="796107D1" w14:textId="77777777" w:rsidTr="00055154">
        <w:tc>
          <w:tcPr>
            <w:tcW w:w="4045" w:type="dxa"/>
          </w:tcPr>
          <w:p w14:paraId="75E4A718" w14:textId="77777777" w:rsidR="00AA7141" w:rsidRDefault="00AA7141" w:rsidP="00055154">
            <w:pPr>
              <w:spacing w:before="60"/>
            </w:pPr>
            <w:r>
              <w:rPr>
                <w:b/>
                <w:bCs/>
              </w:rPr>
              <w:t>Permanent Rules</w:t>
            </w:r>
          </w:p>
          <w:p w14:paraId="5FEB31C9" w14:textId="77777777" w:rsidR="00AA7141" w:rsidRPr="00C14B92" w:rsidRDefault="00512FF3" w:rsidP="00055154">
            <w:pPr>
              <w:spacing w:before="60"/>
            </w:pPr>
            <w:hyperlink r:id="rId29" w:history="1">
              <w:r w:rsidR="00AA7141" w:rsidRPr="00182DAD">
                <w:rPr>
                  <w:rStyle w:val="Hyperlink"/>
                  <w:rFonts w:eastAsiaTheme="majorEastAsia"/>
                  <w:sz w:val="18"/>
                  <w:szCs w:val="18"/>
                </w:rPr>
                <w:t>Minn. Stat. §§ 14.05 to 14.28</w:t>
              </w:r>
            </w:hyperlink>
          </w:p>
        </w:tc>
        <w:tc>
          <w:tcPr>
            <w:tcW w:w="1440" w:type="dxa"/>
            <w:vAlign w:val="center"/>
          </w:tcPr>
          <w:p w14:paraId="5CE1E5C7" w14:textId="77777777" w:rsidR="00AA7141" w:rsidRPr="008C54AD" w:rsidRDefault="00AA7141" w:rsidP="00055154">
            <w:pPr>
              <w:spacing w:before="60"/>
              <w:jc w:val="center"/>
              <w:rPr>
                <w:sz w:val="18"/>
                <w:szCs w:val="18"/>
              </w:rPr>
            </w:pPr>
            <w:r>
              <w:rPr>
                <w:sz w:val="18"/>
                <w:szCs w:val="18"/>
              </w:rPr>
              <w:t>U</w:t>
            </w:r>
            <w:r w:rsidRPr="008C54AD">
              <w:rPr>
                <w:sz w:val="18"/>
                <w:szCs w:val="18"/>
              </w:rPr>
              <w:t>ntil revised or repealed</w:t>
            </w:r>
          </w:p>
        </w:tc>
        <w:tc>
          <w:tcPr>
            <w:tcW w:w="1260" w:type="dxa"/>
            <w:vAlign w:val="center"/>
          </w:tcPr>
          <w:p w14:paraId="6138E380" w14:textId="77777777" w:rsidR="00AA7141" w:rsidRPr="008C54AD" w:rsidRDefault="00AA7141" w:rsidP="00055154">
            <w:pPr>
              <w:spacing w:before="60"/>
              <w:jc w:val="center"/>
              <w:rPr>
                <w:sz w:val="18"/>
                <w:szCs w:val="18"/>
              </w:rPr>
            </w:pPr>
            <w:r>
              <w:rPr>
                <w:sz w:val="18"/>
                <w:szCs w:val="18"/>
              </w:rPr>
              <w:t>Possible</w:t>
            </w:r>
          </w:p>
        </w:tc>
        <w:tc>
          <w:tcPr>
            <w:tcW w:w="1080" w:type="dxa"/>
            <w:vAlign w:val="center"/>
          </w:tcPr>
          <w:p w14:paraId="5E7C8807" w14:textId="77777777" w:rsidR="00AA7141" w:rsidRPr="008C54AD" w:rsidRDefault="00AA7141" w:rsidP="00055154">
            <w:pPr>
              <w:spacing w:before="60"/>
              <w:jc w:val="center"/>
              <w:rPr>
                <w:sz w:val="18"/>
                <w:szCs w:val="18"/>
              </w:rPr>
            </w:pPr>
            <w:r>
              <w:rPr>
                <w:sz w:val="18"/>
                <w:szCs w:val="18"/>
              </w:rPr>
              <w:t>Yes</w:t>
            </w:r>
          </w:p>
        </w:tc>
        <w:tc>
          <w:tcPr>
            <w:tcW w:w="1350" w:type="dxa"/>
            <w:vAlign w:val="center"/>
          </w:tcPr>
          <w:p w14:paraId="6A7B6F46" w14:textId="77777777" w:rsidR="00AA7141" w:rsidRPr="008C54AD" w:rsidRDefault="00AA7141" w:rsidP="00055154">
            <w:pPr>
              <w:spacing w:before="60"/>
              <w:jc w:val="center"/>
              <w:rPr>
                <w:sz w:val="18"/>
                <w:szCs w:val="18"/>
              </w:rPr>
            </w:pPr>
            <w:r>
              <w:rPr>
                <w:sz w:val="18"/>
                <w:szCs w:val="18"/>
              </w:rPr>
              <w:t>Yes</w:t>
            </w:r>
          </w:p>
        </w:tc>
        <w:tc>
          <w:tcPr>
            <w:tcW w:w="900" w:type="dxa"/>
            <w:vAlign w:val="center"/>
          </w:tcPr>
          <w:p w14:paraId="1C68BE80" w14:textId="77777777" w:rsidR="00AA7141" w:rsidRPr="008C54AD" w:rsidRDefault="00AA7141" w:rsidP="00055154">
            <w:pPr>
              <w:spacing w:before="60"/>
              <w:jc w:val="center"/>
              <w:rPr>
                <w:sz w:val="18"/>
                <w:szCs w:val="18"/>
              </w:rPr>
            </w:pPr>
            <w:r>
              <w:rPr>
                <w:sz w:val="18"/>
                <w:szCs w:val="18"/>
              </w:rPr>
              <w:t>Yes</w:t>
            </w:r>
          </w:p>
        </w:tc>
      </w:tr>
      <w:tr w:rsidR="00AA7141" w14:paraId="60EFD8E1" w14:textId="77777777" w:rsidTr="00055154">
        <w:tc>
          <w:tcPr>
            <w:tcW w:w="4045" w:type="dxa"/>
          </w:tcPr>
          <w:p w14:paraId="1A75DC88" w14:textId="77777777" w:rsidR="00AA7141" w:rsidRDefault="00AA7141" w:rsidP="00055154">
            <w:pPr>
              <w:spacing w:before="60"/>
              <w:rPr>
                <w:b/>
                <w:bCs/>
              </w:rPr>
            </w:pPr>
            <w:r>
              <w:rPr>
                <w:b/>
                <w:bCs/>
              </w:rPr>
              <w:t>Exempt Permanent Rules</w:t>
            </w:r>
          </w:p>
          <w:p w14:paraId="369A0DC5" w14:textId="77777777" w:rsidR="00AA7141" w:rsidRPr="00F83D49" w:rsidRDefault="00512FF3" w:rsidP="00055154">
            <w:pPr>
              <w:spacing w:before="60"/>
              <w:rPr>
                <w:sz w:val="18"/>
                <w:szCs w:val="18"/>
              </w:rPr>
            </w:pPr>
            <w:hyperlink r:id="rId30" w:history="1">
              <w:r w:rsidR="00AA7141" w:rsidRPr="0030474D">
                <w:rPr>
                  <w:rStyle w:val="Hyperlink"/>
                  <w:rFonts w:eastAsiaTheme="majorEastAsia"/>
                  <w:sz w:val="18"/>
                  <w:szCs w:val="18"/>
                </w:rPr>
                <w:t>Minn. Stat. § 14.386</w:t>
              </w:r>
            </w:hyperlink>
          </w:p>
        </w:tc>
        <w:tc>
          <w:tcPr>
            <w:tcW w:w="1440" w:type="dxa"/>
            <w:vAlign w:val="center"/>
          </w:tcPr>
          <w:p w14:paraId="4F0F1987" w14:textId="77777777" w:rsidR="00AA7141" w:rsidRPr="008C54AD" w:rsidRDefault="00AA7141" w:rsidP="00055154">
            <w:pPr>
              <w:spacing w:before="60"/>
              <w:jc w:val="center"/>
              <w:rPr>
                <w:sz w:val="18"/>
                <w:szCs w:val="18"/>
              </w:rPr>
            </w:pPr>
            <w:r>
              <w:rPr>
                <w:sz w:val="18"/>
                <w:szCs w:val="18"/>
              </w:rPr>
              <w:t>2 years</w:t>
            </w:r>
          </w:p>
        </w:tc>
        <w:tc>
          <w:tcPr>
            <w:tcW w:w="1260" w:type="dxa"/>
            <w:vAlign w:val="center"/>
          </w:tcPr>
          <w:p w14:paraId="11533D84" w14:textId="77777777" w:rsidR="00AA7141" w:rsidRPr="008C54AD" w:rsidRDefault="00AA7141" w:rsidP="00055154">
            <w:pPr>
              <w:spacing w:before="60"/>
              <w:jc w:val="center"/>
              <w:rPr>
                <w:sz w:val="18"/>
                <w:szCs w:val="18"/>
              </w:rPr>
            </w:pPr>
            <w:r>
              <w:rPr>
                <w:sz w:val="18"/>
                <w:szCs w:val="18"/>
              </w:rPr>
              <w:t>No</w:t>
            </w:r>
          </w:p>
        </w:tc>
        <w:tc>
          <w:tcPr>
            <w:tcW w:w="1080" w:type="dxa"/>
            <w:vAlign w:val="center"/>
          </w:tcPr>
          <w:p w14:paraId="416BB2E4" w14:textId="77777777" w:rsidR="00AA7141" w:rsidRPr="008C54AD" w:rsidRDefault="00AA7141" w:rsidP="00055154">
            <w:pPr>
              <w:spacing w:before="60"/>
              <w:jc w:val="center"/>
              <w:rPr>
                <w:sz w:val="18"/>
                <w:szCs w:val="18"/>
              </w:rPr>
            </w:pPr>
            <w:r>
              <w:rPr>
                <w:sz w:val="18"/>
                <w:szCs w:val="18"/>
              </w:rPr>
              <w:t>No</w:t>
            </w:r>
          </w:p>
        </w:tc>
        <w:tc>
          <w:tcPr>
            <w:tcW w:w="1350" w:type="dxa"/>
            <w:vAlign w:val="center"/>
          </w:tcPr>
          <w:p w14:paraId="5BBAA8AC" w14:textId="77777777" w:rsidR="00AA7141" w:rsidRPr="008C54AD" w:rsidRDefault="00AA7141" w:rsidP="00055154">
            <w:pPr>
              <w:spacing w:before="60"/>
              <w:jc w:val="center"/>
              <w:rPr>
                <w:sz w:val="18"/>
                <w:szCs w:val="18"/>
              </w:rPr>
            </w:pPr>
            <w:r>
              <w:rPr>
                <w:sz w:val="18"/>
                <w:szCs w:val="18"/>
              </w:rPr>
              <w:t>Yes</w:t>
            </w:r>
          </w:p>
        </w:tc>
        <w:tc>
          <w:tcPr>
            <w:tcW w:w="900" w:type="dxa"/>
            <w:vAlign w:val="center"/>
          </w:tcPr>
          <w:p w14:paraId="22E5B224" w14:textId="77777777" w:rsidR="00AA7141" w:rsidRPr="008C54AD" w:rsidRDefault="00AA7141" w:rsidP="00055154">
            <w:pPr>
              <w:spacing w:before="60"/>
              <w:jc w:val="center"/>
              <w:rPr>
                <w:sz w:val="18"/>
                <w:szCs w:val="18"/>
              </w:rPr>
            </w:pPr>
            <w:r>
              <w:rPr>
                <w:sz w:val="18"/>
                <w:szCs w:val="18"/>
              </w:rPr>
              <w:t>Yes</w:t>
            </w:r>
          </w:p>
        </w:tc>
      </w:tr>
      <w:tr w:rsidR="00AA7141" w14:paraId="36CBAF42" w14:textId="77777777" w:rsidTr="00055154">
        <w:tc>
          <w:tcPr>
            <w:tcW w:w="4045" w:type="dxa"/>
          </w:tcPr>
          <w:p w14:paraId="6C602CB7" w14:textId="77777777" w:rsidR="00AA7141" w:rsidRDefault="00AA7141" w:rsidP="00055154">
            <w:pPr>
              <w:spacing w:before="60"/>
              <w:rPr>
                <w:b/>
                <w:bCs/>
              </w:rPr>
            </w:pPr>
            <w:r>
              <w:rPr>
                <w:b/>
                <w:bCs/>
              </w:rPr>
              <w:t>Good Cause Exempt Permanent Rules</w:t>
            </w:r>
          </w:p>
          <w:p w14:paraId="40A067C9" w14:textId="77777777" w:rsidR="00AA7141" w:rsidRDefault="00512FF3" w:rsidP="00055154">
            <w:pPr>
              <w:spacing w:before="60"/>
              <w:rPr>
                <w:sz w:val="18"/>
                <w:szCs w:val="18"/>
              </w:rPr>
            </w:pPr>
            <w:hyperlink r:id="rId31" w:history="1">
              <w:r w:rsidR="00AA7141" w:rsidRPr="0068062A">
                <w:rPr>
                  <w:rStyle w:val="Hyperlink"/>
                  <w:rFonts w:eastAsiaTheme="majorEastAsia"/>
                  <w:sz w:val="18"/>
                  <w:szCs w:val="18"/>
                </w:rPr>
                <w:t>Minn. Stat. § 14.388</w:t>
              </w:r>
            </w:hyperlink>
          </w:p>
          <w:p w14:paraId="64BA54DF" w14:textId="77777777" w:rsidR="00AA7141" w:rsidRDefault="00AA7141" w:rsidP="00055154">
            <w:pPr>
              <w:spacing w:before="60"/>
              <w:rPr>
                <w:sz w:val="18"/>
                <w:szCs w:val="18"/>
              </w:rPr>
            </w:pPr>
            <w:r>
              <w:rPr>
                <w:sz w:val="18"/>
                <w:szCs w:val="18"/>
              </w:rPr>
              <w:t>(1) address a serious and immediate threat to the public health, safety, or welfare</w:t>
            </w:r>
          </w:p>
          <w:p w14:paraId="5B56DA75" w14:textId="77777777" w:rsidR="00AA7141" w:rsidRDefault="00AA7141" w:rsidP="00055154">
            <w:pPr>
              <w:spacing w:before="60"/>
              <w:rPr>
                <w:sz w:val="18"/>
                <w:szCs w:val="18"/>
              </w:rPr>
            </w:pPr>
            <w:r>
              <w:rPr>
                <w:sz w:val="18"/>
                <w:szCs w:val="18"/>
              </w:rPr>
              <w:t>(2) comply with a court order or a requirement in federal law…</w:t>
            </w:r>
          </w:p>
          <w:p w14:paraId="2E07A67A" w14:textId="77777777" w:rsidR="00AA7141" w:rsidRDefault="00AA7141" w:rsidP="00055154">
            <w:pPr>
              <w:spacing w:before="60"/>
              <w:rPr>
                <w:sz w:val="18"/>
                <w:szCs w:val="18"/>
              </w:rPr>
            </w:pPr>
            <w:r>
              <w:rPr>
                <w:sz w:val="18"/>
                <w:szCs w:val="18"/>
              </w:rPr>
              <w:lastRenderedPageBreak/>
              <w:t>(3) incorporate specific changes set forth in applicable statutes when no interpretation of law is required</w:t>
            </w:r>
          </w:p>
          <w:p w14:paraId="768A6657" w14:textId="77777777" w:rsidR="00AA7141" w:rsidRPr="00F52753" w:rsidRDefault="00AA7141" w:rsidP="00055154">
            <w:pPr>
              <w:spacing w:before="60"/>
              <w:rPr>
                <w:sz w:val="18"/>
                <w:szCs w:val="18"/>
              </w:rPr>
            </w:pPr>
            <w:r>
              <w:rPr>
                <w:sz w:val="18"/>
                <w:szCs w:val="18"/>
              </w:rPr>
              <w:t>(4) make changes that do not alter the sense, meaning, or effect of a rule</w:t>
            </w:r>
          </w:p>
        </w:tc>
        <w:tc>
          <w:tcPr>
            <w:tcW w:w="1440" w:type="dxa"/>
            <w:vAlign w:val="center"/>
          </w:tcPr>
          <w:p w14:paraId="36851782" w14:textId="77777777" w:rsidR="00AA7141" w:rsidRPr="008C54AD" w:rsidRDefault="00AA7141" w:rsidP="00055154">
            <w:pPr>
              <w:spacing w:before="60"/>
              <w:jc w:val="center"/>
              <w:rPr>
                <w:sz w:val="18"/>
                <w:szCs w:val="18"/>
              </w:rPr>
            </w:pPr>
            <w:r>
              <w:rPr>
                <w:sz w:val="18"/>
                <w:szCs w:val="18"/>
              </w:rPr>
              <w:lastRenderedPageBreak/>
              <w:t>2 years if adopted under clauses (1) or (2); otherwise, until revised or repealed</w:t>
            </w:r>
          </w:p>
        </w:tc>
        <w:tc>
          <w:tcPr>
            <w:tcW w:w="1260" w:type="dxa"/>
            <w:vAlign w:val="center"/>
          </w:tcPr>
          <w:p w14:paraId="2AE3B277" w14:textId="77777777" w:rsidR="00AA7141" w:rsidRPr="008C54AD" w:rsidRDefault="00AA7141" w:rsidP="00055154">
            <w:pPr>
              <w:spacing w:before="60"/>
              <w:jc w:val="center"/>
              <w:rPr>
                <w:sz w:val="18"/>
                <w:szCs w:val="18"/>
              </w:rPr>
            </w:pPr>
            <w:r>
              <w:rPr>
                <w:sz w:val="18"/>
                <w:szCs w:val="18"/>
              </w:rPr>
              <w:t>No</w:t>
            </w:r>
          </w:p>
        </w:tc>
        <w:tc>
          <w:tcPr>
            <w:tcW w:w="1080" w:type="dxa"/>
            <w:vAlign w:val="center"/>
          </w:tcPr>
          <w:p w14:paraId="7C4249B5" w14:textId="77777777" w:rsidR="00AA7141" w:rsidRPr="008C54AD" w:rsidRDefault="00AA7141" w:rsidP="00055154">
            <w:pPr>
              <w:spacing w:before="60"/>
              <w:jc w:val="center"/>
              <w:rPr>
                <w:sz w:val="18"/>
                <w:szCs w:val="18"/>
              </w:rPr>
            </w:pPr>
            <w:r>
              <w:rPr>
                <w:sz w:val="18"/>
                <w:szCs w:val="18"/>
              </w:rPr>
              <w:t>Yes</w:t>
            </w:r>
          </w:p>
        </w:tc>
        <w:tc>
          <w:tcPr>
            <w:tcW w:w="1350" w:type="dxa"/>
            <w:vAlign w:val="center"/>
          </w:tcPr>
          <w:p w14:paraId="161293BA" w14:textId="77777777" w:rsidR="00AA7141" w:rsidRPr="008C54AD" w:rsidRDefault="00AA7141" w:rsidP="00055154">
            <w:pPr>
              <w:spacing w:before="60"/>
              <w:jc w:val="center"/>
              <w:rPr>
                <w:sz w:val="18"/>
                <w:szCs w:val="18"/>
              </w:rPr>
            </w:pPr>
            <w:r>
              <w:rPr>
                <w:sz w:val="18"/>
                <w:szCs w:val="18"/>
              </w:rPr>
              <w:t>Yes</w:t>
            </w:r>
          </w:p>
        </w:tc>
        <w:tc>
          <w:tcPr>
            <w:tcW w:w="900" w:type="dxa"/>
            <w:vAlign w:val="center"/>
          </w:tcPr>
          <w:p w14:paraId="61B9FA7E" w14:textId="77777777" w:rsidR="00AA7141" w:rsidRPr="008C54AD" w:rsidRDefault="00AA7141" w:rsidP="00055154">
            <w:pPr>
              <w:spacing w:before="60"/>
              <w:jc w:val="center"/>
              <w:rPr>
                <w:sz w:val="18"/>
                <w:szCs w:val="18"/>
              </w:rPr>
            </w:pPr>
            <w:r>
              <w:rPr>
                <w:sz w:val="18"/>
                <w:szCs w:val="18"/>
              </w:rPr>
              <w:t>No</w:t>
            </w:r>
          </w:p>
        </w:tc>
      </w:tr>
      <w:tr w:rsidR="00AA7141" w14:paraId="709B33AA" w14:textId="77777777" w:rsidTr="00055154">
        <w:tc>
          <w:tcPr>
            <w:tcW w:w="4045" w:type="dxa"/>
          </w:tcPr>
          <w:p w14:paraId="3F0F37A4" w14:textId="77777777" w:rsidR="00AA7141" w:rsidRDefault="00AA7141" w:rsidP="00055154">
            <w:pPr>
              <w:spacing w:before="60"/>
              <w:rPr>
                <w:b/>
                <w:bCs/>
              </w:rPr>
            </w:pPr>
            <w:r>
              <w:rPr>
                <w:b/>
                <w:bCs/>
              </w:rPr>
              <w:t>Expedited Permanent Rules</w:t>
            </w:r>
          </w:p>
          <w:p w14:paraId="45D65F0D" w14:textId="77777777" w:rsidR="00AA7141" w:rsidRDefault="00512FF3" w:rsidP="00055154">
            <w:pPr>
              <w:spacing w:before="60"/>
              <w:rPr>
                <w:sz w:val="18"/>
                <w:szCs w:val="18"/>
              </w:rPr>
            </w:pPr>
            <w:hyperlink r:id="rId32" w:history="1">
              <w:r w:rsidR="00AA7141" w:rsidRPr="008B308E">
                <w:rPr>
                  <w:rStyle w:val="Hyperlink"/>
                  <w:rFonts w:eastAsiaTheme="majorEastAsia"/>
                  <w:sz w:val="18"/>
                  <w:szCs w:val="18"/>
                </w:rPr>
                <w:t>Minn. Stat. § 14.389</w:t>
              </w:r>
            </w:hyperlink>
          </w:p>
          <w:p w14:paraId="4C0952B5" w14:textId="77777777" w:rsidR="00AA7141" w:rsidRDefault="00AA7141" w:rsidP="00055154">
            <w:pPr>
              <w:spacing w:before="60"/>
            </w:pPr>
            <w:r>
              <w:rPr>
                <w:sz w:val="18"/>
                <w:szCs w:val="18"/>
              </w:rPr>
              <w:t>Possibility of hearing depends on whether the statutory authority to use this procedure references subd. 5 in § 14.389.</w:t>
            </w:r>
          </w:p>
        </w:tc>
        <w:tc>
          <w:tcPr>
            <w:tcW w:w="1440" w:type="dxa"/>
            <w:vAlign w:val="center"/>
          </w:tcPr>
          <w:p w14:paraId="1CB6D38E" w14:textId="77777777" w:rsidR="00AA7141" w:rsidRPr="008C54AD" w:rsidRDefault="00AA7141" w:rsidP="00055154">
            <w:pPr>
              <w:spacing w:before="60"/>
              <w:jc w:val="center"/>
              <w:rPr>
                <w:sz w:val="18"/>
                <w:szCs w:val="18"/>
              </w:rPr>
            </w:pPr>
            <w:r>
              <w:rPr>
                <w:sz w:val="18"/>
                <w:szCs w:val="18"/>
              </w:rPr>
              <w:t>Until revised or repealed</w:t>
            </w:r>
          </w:p>
        </w:tc>
        <w:tc>
          <w:tcPr>
            <w:tcW w:w="1260" w:type="dxa"/>
            <w:vAlign w:val="center"/>
          </w:tcPr>
          <w:p w14:paraId="2CDEB458" w14:textId="77777777" w:rsidR="00AA7141" w:rsidRPr="008C54AD" w:rsidRDefault="00AA7141" w:rsidP="00055154">
            <w:pPr>
              <w:spacing w:before="60"/>
              <w:jc w:val="center"/>
              <w:rPr>
                <w:sz w:val="18"/>
                <w:szCs w:val="18"/>
              </w:rPr>
            </w:pPr>
            <w:r>
              <w:rPr>
                <w:sz w:val="18"/>
                <w:szCs w:val="18"/>
              </w:rPr>
              <w:t>Possible (conditional on authority)</w:t>
            </w:r>
          </w:p>
        </w:tc>
        <w:tc>
          <w:tcPr>
            <w:tcW w:w="1080" w:type="dxa"/>
            <w:vAlign w:val="center"/>
          </w:tcPr>
          <w:p w14:paraId="76B971ED" w14:textId="77777777" w:rsidR="00AA7141" w:rsidRPr="008C54AD" w:rsidRDefault="00AA7141" w:rsidP="00055154">
            <w:pPr>
              <w:spacing w:before="60"/>
              <w:jc w:val="center"/>
              <w:rPr>
                <w:sz w:val="18"/>
                <w:szCs w:val="18"/>
              </w:rPr>
            </w:pPr>
            <w:r>
              <w:rPr>
                <w:sz w:val="18"/>
                <w:szCs w:val="18"/>
              </w:rPr>
              <w:t>Yes</w:t>
            </w:r>
          </w:p>
        </w:tc>
        <w:tc>
          <w:tcPr>
            <w:tcW w:w="1350" w:type="dxa"/>
            <w:vAlign w:val="center"/>
          </w:tcPr>
          <w:p w14:paraId="435488C2" w14:textId="77777777" w:rsidR="00AA7141" w:rsidRPr="008C54AD" w:rsidRDefault="00AA7141" w:rsidP="00055154">
            <w:pPr>
              <w:spacing w:before="60"/>
              <w:jc w:val="center"/>
              <w:rPr>
                <w:sz w:val="18"/>
                <w:szCs w:val="18"/>
              </w:rPr>
            </w:pPr>
            <w:r>
              <w:rPr>
                <w:sz w:val="18"/>
                <w:szCs w:val="18"/>
              </w:rPr>
              <w:t>Yes</w:t>
            </w:r>
          </w:p>
        </w:tc>
        <w:tc>
          <w:tcPr>
            <w:tcW w:w="900" w:type="dxa"/>
            <w:vAlign w:val="center"/>
          </w:tcPr>
          <w:p w14:paraId="1D0F5777" w14:textId="77777777" w:rsidR="00AA7141" w:rsidRPr="008C54AD" w:rsidRDefault="00AA7141" w:rsidP="00055154">
            <w:pPr>
              <w:spacing w:before="60"/>
              <w:jc w:val="center"/>
              <w:rPr>
                <w:sz w:val="18"/>
                <w:szCs w:val="18"/>
              </w:rPr>
            </w:pPr>
            <w:r>
              <w:rPr>
                <w:sz w:val="18"/>
                <w:szCs w:val="18"/>
              </w:rPr>
              <w:t>Yes</w:t>
            </w:r>
          </w:p>
        </w:tc>
      </w:tr>
      <w:tr w:rsidR="00AA7141" w14:paraId="3B09E480" w14:textId="77777777" w:rsidTr="00055154">
        <w:tc>
          <w:tcPr>
            <w:tcW w:w="4045" w:type="dxa"/>
          </w:tcPr>
          <w:p w14:paraId="0D19ECE2" w14:textId="77777777" w:rsidR="00AA7141" w:rsidRDefault="00AA7141" w:rsidP="00055154">
            <w:pPr>
              <w:spacing w:before="60"/>
              <w:rPr>
                <w:b/>
                <w:bCs/>
              </w:rPr>
            </w:pPr>
            <w:r>
              <w:rPr>
                <w:b/>
                <w:bCs/>
              </w:rPr>
              <w:t>Repeal of Permanent Rules</w:t>
            </w:r>
          </w:p>
          <w:p w14:paraId="36A151C6" w14:textId="77777777" w:rsidR="00AA7141" w:rsidRDefault="00512FF3" w:rsidP="00055154">
            <w:pPr>
              <w:spacing w:before="60"/>
            </w:pPr>
            <w:hyperlink r:id="rId33" w:history="1">
              <w:r w:rsidR="00AA7141" w:rsidRPr="008B308E">
                <w:rPr>
                  <w:rStyle w:val="Hyperlink"/>
                  <w:rFonts w:eastAsiaTheme="majorEastAsia"/>
                  <w:sz w:val="18"/>
                  <w:szCs w:val="18"/>
                </w:rPr>
                <w:t>Minn. Stat. § 14.3895</w:t>
              </w:r>
            </w:hyperlink>
          </w:p>
        </w:tc>
        <w:tc>
          <w:tcPr>
            <w:tcW w:w="1440" w:type="dxa"/>
            <w:vAlign w:val="center"/>
          </w:tcPr>
          <w:p w14:paraId="65CAF131" w14:textId="77777777" w:rsidR="00AA7141" w:rsidRPr="008C54AD" w:rsidRDefault="00AA7141" w:rsidP="00055154">
            <w:pPr>
              <w:spacing w:before="60"/>
              <w:jc w:val="center"/>
              <w:rPr>
                <w:sz w:val="18"/>
                <w:szCs w:val="18"/>
              </w:rPr>
            </w:pPr>
            <w:r>
              <w:rPr>
                <w:sz w:val="18"/>
                <w:szCs w:val="18"/>
              </w:rPr>
              <w:t>N/A</w:t>
            </w:r>
          </w:p>
        </w:tc>
        <w:tc>
          <w:tcPr>
            <w:tcW w:w="1260" w:type="dxa"/>
            <w:vAlign w:val="center"/>
          </w:tcPr>
          <w:p w14:paraId="3593E3F4" w14:textId="77777777" w:rsidR="00AA7141" w:rsidRPr="008C54AD" w:rsidRDefault="00AA7141" w:rsidP="00055154">
            <w:pPr>
              <w:spacing w:before="60"/>
              <w:jc w:val="center"/>
              <w:rPr>
                <w:sz w:val="18"/>
                <w:szCs w:val="18"/>
              </w:rPr>
            </w:pPr>
            <w:r>
              <w:rPr>
                <w:sz w:val="18"/>
                <w:szCs w:val="18"/>
              </w:rPr>
              <w:t>Possible</w:t>
            </w:r>
          </w:p>
        </w:tc>
        <w:tc>
          <w:tcPr>
            <w:tcW w:w="1080" w:type="dxa"/>
            <w:vAlign w:val="center"/>
          </w:tcPr>
          <w:p w14:paraId="059CEAD9" w14:textId="77777777" w:rsidR="00AA7141" w:rsidRPr="008C54AD" w:rsidRDefault="00AA7141" w:rsidP="00055154">
            <w:pPr>
              <w:spacing w:before="60"/>
              <w:jc w:val="center"/>
              <w:rPr>
                <w:sz w:val="18"/>
                <w:szCs w:val="18"/>
              </w:rPr>
            </w:pPr>
            <w:r>
              <w:rPr>
                <w:sz w:val="18"/>
                <w:szCs w:val="18"/>
              </w:rPr>
              <w:t>Yes</w:t>
            </w:r>
          </w:p>
        </w:tc>
        <w:tc>
          <w:tcPr>
            <w:tcW w:w="1350" w:type="dxa"/>
            <w:vAlign w:val="center"/>
          </w:tcPr>
          <w:p w14:paraId="6FEA4D30" w14:textId="77777777" w:rsidR="00AA7141" w:rsidRPr="008C54AD" w:rsidRDefault="00AA7141" w:rsidP="00055154">
            <w:pPr>
              <w:spacing w:before="60"/>
              <w:jc w:val="center"/>
              <w:rPr>
                <w:sz w:val="18"/>
                <w:szCs w:val="18"/>
              </w:rPr>
            </w:pPr>
            <w:r>
              <w:rPr>
                <w:sz w:val="18"/>
                <w:szCs w:val="18"/>
              </w:rPr>
              <w:t>Yes</w:t>
            </w:r>
          </w:p>
        </w:tc>
        <w:tc>
          <w:tcPr>
            <w:tcW w:w="900" w:type="dxa"/>
            <w:vAlign w:val="center"/>
          </w:tcPr>
          <w:p w14:paraId="0AA019C9" w14:textId="77777777" w:rsidR="00AA7141" w:rsidRPr="008C54AD" w:rsidRDefault="00AA7141" w:rsidP="00055154">
            <w:pPr>
              <w:spacing w:before="60"/>
              <w:jc w:val="center"/>
              <w:rPr>
                <w:sz w:val="18"/>
                <w:szCs w:val="18"/>
              </w:rPr>
            </w:pPr>
            <w:r>
              <w:rPr>
                <w:sz w:val="18"/>
                <w:szCs w:val="18"/>
              </w:rPr>
              <w:t>Yes</w:t>
            </w:r>
          </w:p>
        </w:tc>
      </w:tr>
    </w:tbl>
    <w:p w14:paraId="058FC9FC" w14:textId="77777777" w:rsidR="00AA7141" w:rsidRDefault="00AA7141" w:rsidP="00AA7141">
      <w:pPr>
        <w:pStyle w:val="Heading3"/>
      </w:pPr>
      <w:r>
        <w:t>1.1.1 Additional rulemaking reference materials</w:t>
      </w:r>
    </w:p>
    <w:p w14:paraId="784486F6" w14:textId="309731D1" w:rsidR="00AA7141" w:rsidRPr="00C77190" w:rsidRDefault="00AA7141" w:rsidP="00AA7141">
      <w:pPr>
        <w:pStyle w:val="BodyText"/>
        <w:rPr>
          <w:kern w:val="16"/>
        </w:rPr>
      </w:pPr>
      <w:r w:rsidRPr="00C77190">
        <w:rPr>
          <w:kern w:val="16"/>
        </w:rPr>
        <w:t xml:space="preserve">The Revisor’s Office also has two rulemaking manuals. The first one, </w:t>
      </w:r>
      <w:hyperlink r:id="rId34" w:history="1">
        <w:r w:rsidR="001D7E7B">
          <w:rPr>
            <w:rStyle w:val="Hyperlink"/>
            <w:rFonts w:eastAsiaTheme="majorEastAsia"/>
            <w:kern w:val="16"/>
          </w:rPr>
          <w:t>Rulemaking in Minnesota: A Guide (PDF) (https://www.revisor.mn.gov/static/office/pubs/2018_all_rulemaking_guide.491681155472.pdf)</w:t>
        </w:r>
      </w:hyperlink>
      <w:r w:rsidRPr="00C77190">
        <w:rPr>
          <w:kern w:val="16"/>
        </w:rPr>
        <w:t>, is similar to this Manual in detailing the rulemaking steps and also includes the text of the APA. When in doubt or if there is conflicting information, defer to this IRC Manual, as it is more consistently updated.</w:t>
      </w:r>
    </w:p>
    <w:p w14:paraId="77FA70F8" w14:textId="76117040" w:rsidR="00AA7141" w:rsidRPr="00C77190" w:rsidRDefault="00AA7141" w:rsidP="00AA7141">
      <w:pPr>
        <w:pStyle w:val="BodyText"/>
        <w:rPr>
          <w:kern w:val="16"/>
        </w:rPr>
      </w:pPr>
      <w:r w:rsidRPr="00C77190">
        <w:rPr>
          <w:kern w:val="16"/>
        </w:rPr>
        <w:t xml:space="preserve">The second manual is a rule-drafting manual entitled </w:t>
      </w:r>
      <w:hyperlink r:id="rId35" w:history="1">
        <w:r w:rsidR="001D7E7B">
          <w:rPr>
            <w:rStyle w:val="Hyperlink"/>
            <w:rFonts w:eastAsiaTheme="majorEastAsia"/>
            <w:kern w:val="16"/>
          </w:rPr>
          <w:t>Minnesota Rules Drafting Manual with Styles and Forms (PDF) (https://www.revisor.mn.gov/static/office/1997_RuleDraftManual.a285c37112da.pdf)</w:t>
        </w:r>
      </w:hyperlink>
      <w:r w:rsidRPr="00C77190">
        <w:rPr>
          <w:i/>
          <w:iCs/>
          <w:kern w:val="16"/>
        </w:rPr>
        <w:t>,</w:t>
      </w:r>
      <w:r w:rsidRPr="00C77190">
        <w:rPr>
          <w:kern w:val="16"/>
        </w:rPr>
        <w:t xml:space="preserve"> which is similar to the bill-drafting manual also published by the Revisor’s Office. Whether you are an experienced or first-time rule writer, read it. It is the most authoritative source on how to draft rules and provides plain-language practices. If you want to avoid rule defects and draft clear rules, you need to read the manual.</w:t>
      </w:r>
    </w:p>
    <w:p w14:paraId="5DCCBF9F" w14:textId="4862DE7E" w:rsidR="00AA7141" w:rsidRPr="00C77190" w:rsidRDefault="00AA7141" w:rsidP="00AA7141">
      <w:pPr>
        <w:pStyle w:val="BodyText"/>
        <w:rPr>
          <w:kern w:val="16"/>
        </w:rPr>
      </w:pPr>
      <w:r w:rsidRPr="00C77190">
        <w:rPr>
          <w:kern w:val="16"/>
        </w:rPr>
        <w:t xml:space="preserve">Another good reference source is the online book </w:t>
      </w:r>
      <w:hyperlink r:id="rId36">
        <w:r w:rsidR="001D7E7B">
          <w:rPr>
            <w:rStyle w:val="Hyperlink"/>
            <w:rFonts w:eastAsiaTheme="majorEastAsia"/>
            <w:iCs/>
            <w:kern w:val="16"/>
          </w:rPr>
          <w:t>Minnesota Administrative Procedure (http://mitchellhamline.edu/minnesota-administrative-procedure/)</w:t>
        </w:r>
      </w:hyperlink>
      <w:r w:rsidRPr="00C77190">
        <w:rPr>
          <w:rStyle w:val="Hyperlink"/>
          <w:rFonts w:eastAsiaTheme="majorEastAsia"/>
          <w:kern w:val="16"/>
        </w:rPr>
        <w:t>,</w:t>
      </w:r>
      <w:r w:rsidRPr="00C77190">
        <w:rPr>
          <w:kern w:val="16"/>
        </w:rPr>
        <w:t xml:space="preserve"> which discusses the APA. The book traces the history of the APA, major changes to the APA, and other important APA elements. Now in its fourth edition, the book discusses both rulemaking and contested-case proceedings, with detailed references to court decisions. It’s an invaluable resource and is frequently cited by the legal community, including administrative law judges. </w:t>
      </w:r>
    </w:p>
    <w:p w14:paraId="12E01566" w14:textId="77777777" w:rsidR="00AA7141" w:rsidRPr="00C77190" w:rsidRDefault="00AA7141" w:rsidP="00AA7141">
      <w:pPr>
        <w:pStyle w:val="Heading2"/>
        <w:rPr>
          <w:kern w:val="16"/>
        </w:rPr>
      </w:pPr>
      <w:bookmarkStart w:id="18" w:name="_Toc123908419"/>
      <w:r w:rsidRPr="00C77190">
        <w:rPr>
          <w:kern w:val="16"/>
        </w:rPr>
        <w:lastRenderedPageBreak/>
        <w:t>1.2 Selected Statutory and Rulemaking Provisions</w:t>
      </w:r>
      <w:bookmarkEnd w:id="18"/>
    </w:p>
    <w:p w14:paraId="39A1AD57" w14:textId="77777777" w:rsidR="00AA7141" w:rsidRPr="00C77190" w:rsidRDefault="00AA7141" w:rsidP="00AA7141">
      <w:pPr>
        <w:pStyle w:val="Heading3"/>
        <w:rPr>
          <w:kern w:val="16"/>
        </w:rPr>
      </w:pPr>
      <w:bookmarkStart w:id="19" w:name="_Toc123908420"/>
      <w:r w:rsidRPr="00C77190">
        <w:rPr>
          <w:kern w:val="16"/>
        </w:rPr>
        <w:t>1.2.1 Rule</w:t>
      </w:r>
      <w:bookmarkEnd w:id="19"/>
    </w:p>
    <w:p w14:paraId="0A83C0CB" w14:textId="77777777" w:rsidR="00AA7141" w:rsidRPr="00C77190" w:rsidRDefault="00AA7141" w:rsidP="00AA7141">
      <w:pPr>
        <w:pStyle w:val="BodyText"/>
        <w:rPr>
          <w:i/>
          <w:kern w:val="16"/>
        </w:rPr>
      </w:pPr>
      <w:r w:rsidRPr="00C77190">
        <w:rPr>
          <w:kern w:val="16"/>
        </w:rPr>
        <w:t>As defined in the APA, “‘Rule’ means every agency statement of general applicability and future effect, including amendments, suspensions, and repeals of rules, adopted to implement or make specific the law enforced or administered by that agency or to govern its organization or procedure.”</w:t>
      </w:r>
      <w:r w:rsidRPr="00C77190">
        <w:rPr>
          <w:rStyle w:val="FootnoteReference"/>
          <w:kern w:val="16"/>
        </w:rPr>
        <w:footnoteReference w:id="4"/>
      </w:r>
      <w:r w:rsidRPr="00C77190">
        <w:rPr>
          <w:kern w:val="16"/>
        </w:rPr>
        <w:t xml:space="preserve"> </w:t>
      </w:r>
    </w:p>
    <w:p w14:paraId="7B87EB95" w14:textId="77777777" w:rsidR="00AA7141" w:rsidRPr="00C77190" w:rsidRDefault="00AA7141" w:rsidP="00AA7141">
      <w:pPr>
        <w:pStyle w:val="BodyText"/>
        <w:rPr>
          <w:kern w:val="16"/>
        </w:rPr>
      </w:pPr>
      <w:r w:rsidRPr="00C77190">
        <w:rPr>
          <w:kern w:val="16"/>
        </w:rPr>
        <w:t>This definition means that rule language must be enforceable and must implement the statute, make the statute specific, or govern the agency’s organization or procedure.</w:t>
      </w:r>
      <w:r w:rsidRPr="00C77190">
        <w:rPr>
          <w:rStyle w:val="FootnoteReference"/>
          <w:kern w:val="16"/>
        </w:rPr>
        <w:footnoteReference w:id="5"/>
      </w:r>
      <w:r w:rsidRPr="00C77190">
        <w:rPr>
          <w:kern w:val="16"/>
        </w:rPr>
        <w:t xml:space="preserve"> Language that merely repeats statute is not generally considered a rule because it does not implement the law or make the law specific. Further, statutory language is a legislative statement, not an agency statement, and so should not be used in rule.</w:t>
      </w:r>
      <w:r w:rsidRPr="00C77190">
        <w:rPr>
          <w:rStyle w:val="FootnoteReference"/>
          <w:kern w:val="16"/>
        </w:rPr>
        <w:footnoteReference w:id="6"/>
      </w:r>
    </w:p>
    <w:p w14:paraId="2865AA0B" w14:textId="77777777" w:rsidR="00AA7141" w:rsidRPr="00C77190" w:rsidRDefault="00AA7141" w:rsidP="00AA7141">
      <w:pPr>
        <w:pStyle w:val="BodyText"/>
        <w:rPr>
          <w:kern w:val="16"/>
        </w:rPr>
      </w:pPr>
      <w:r w:rsidRPr="00C77190">
        <w:rPr>
          <w:kern w:val="16"/>
        </w:rPr>
        <w:t xml:space="preserve">In addition to taking issue with repeating statutory language, </w:t>
      </w:r>
      <w:r>
        <w:t>ALJs</w:t>
      </w:r>
      <w:r w:rsidRPr="00C77190">
        <w:rPr>
          <w:kern w:val="16"/>
        </w:rPr>
        <w:t xml:space="preserve"> often call out providing examples in rule as a defect. </w:t>
      </w:r>
      <w:proofErr w:type="gramStart"/>
      <w:r w:rsidRPr="00C77190">
        <w:rPr>
          <w:kern w:val="16"/>
        </w:rPr>
        <w:t>In particular, ALJs</w:t>
      </w:r>
      <w:proofErr w:type="gramEnd"/>
      <w:r w:rsidRPr="00C77190">
        <w:rPr>
          <w:kern w:val="16"/>
        </w:rPr>
        <w:t xml:space="preserve"> will disapprove language that describes hypothetical scenarios. Using hypothetical scenarios to interpret the law should not be in the rule but rather in agency materials</w:t>
      </w:r>
      <w:r>
        <w:rPr>
          <w:kern w:val="16"/>
        </w:rPr>
        <w:t>.</w:t>
      </w:r>
      <w:r w:rsidRPr="00C77190">
        <w:rPr>
          <w:kern w:val="16"/>
        </w:rPr>
        <w:t xml:space="preserve"> </w:t>
      </w:r>
      <w:r>
        <w:rPr>
          <w:kern w:val="16"/>
        </w:rPr>
        <w:t xml:space="preserve">The lone exception is </w:t>
      </w:r>
      <w:r w:rsidRPr="00C77190">
        <w:rPr>
          <w:kern w:val="16"/>
        </w:rPr>
        <w:t>the Department of Revenue</w:t>
      </w:r>
      <w:r>
        <w:rPr>
          <w:kern w:val="16"/>
        </w:rPr>
        <w:t>, which</w:t>
      </w:r>
      <w:r w:rsidRPr="00C77190">
        <w:rPr>
          <w:kern w:val="16"/>
        </w:rPr>
        <w:t xml:space="preserve"> has been allowed to use examples in its rules. For example, an ALJ noted the unique nature of tax rules:</w:t>
      </w:r>
    </w:p>
    <w:p w14:paraId="5F3925A9" w14:textId="77777777" w:rsidR="00AA7141" w:rsidRPr="00C77190" w:rsidRDefault="00AA7141" w:rsidP="00AA7141">
      <w:pPr>
        <w:pStyle w:val="BodyText"/>
        <w:ind w:left="360"/>
        <w:rPr>
          <w:kern w:val="16"/>
        </w:rPr>
      </w:pPr>
      <w:r w:rsidRPr="00C77190">
        <w:rPr>
          <w:kern w:val="16"/>
        </w:rPr>
        <w:t>Subpart 3 sets out examples of how the tax calculation is performed and who must pay the tax. While examples are not rules, the Department must commonly describe the impact of its rules in the form of "real world" applications. Due to the unique nature of tax rules, examples included in the rules themselves have been approved in rulemaking proceedings. The examples set out in subpart 3 are found to be needed and reasonable.</w:t>
      </w:r>
      <w:r w:rsidRPr="00C77190">
        <w:rPr>
          <w:rStyle w:val="FootnoteReference"/>
          <w:kern w:val="16"/>
        </w:rPr>
        <w:footnoteReference w:id="7"/>
      </w:r>
      <w:r w:rsidRPr="00C77190">
        <w:rPr>
          <w:kern w:val="16"/>
        </w:rPr>
        <w:t xml:space="preserve"> </w:t>
      </w:r>
    </w:p>
    <w:p w14:paraId="2E66B10B" w14:textId="77777777" w:rsidR="00AA7141" w:rsidRPr="00AA7141" w:rsidRDefault="00AA7141" w:rsidP="00AA7141">
      <w:pPr>
        <w:pStyle w:val="BodyText"/>
        <w:rPr>
          <w:rFonts w:eastAsiaTheme="minorEastAsia"/>
        </w:rPr>
      </w:pPr>
      <w:r w:rsidRPr="00AA7141">
        <w:t xml:space="preserve">Although ALJs are not consistent across the board, some ALJs will approve a list of a series of items (X, Y, and Z) when the word “example” is not </w:t>
      </w:r>
      <w:proofErr w:type="gramStart"/>
      <w:r w:rsidRPr="00AA7141">
        <w:t>used</w:t>
      </w:r>
      <w:proofErr w:type="gramEnd"/>
      <w:r w:rsidRPr="00AA7141">
        <w:t xml:space="preserve"> and the items are not hypothetical descriptions of potential scenarios. Many rules contain “such as” followed by a list of concrete items. For example, a Board of Animal Health rule defines a “confinement area as</w:t>
      </w:r>
      <w:r w:rsidRPr="00AA7141">
        <w:rPr>
          <w:rFonts w:eastAsiaTheme="minorEastAsia"/>
        </w:rPr>
        <w:t xml:space="preserve"> a structure used or designated for use to restrict an animal to a limited amount of space, such as a room, pen, cage, kennel, compartment, crate, or hutch.”</w:t>
      </w:r>
      <w:r w:rsidRPr="00AA7141">
        <w:rPr>
          <w:rStyle w:val="FootnoteReference"/>
          <w:rFonts w:eastAsiaTheme="minorEastAsia"/>
          <w:vertAlign w:val="baseline"/>
        </w:rPr>
        <w:footnoteReference w:id="8"/>
      </w:r>
      <w:r w:rsidRPr="00AA7141">
        <w:rPr>
          <w:rFonts w:eastAsiaTheme="minorEastAsia"/>
        </w:rPr>
        <w:t xml:space="preserve"> But again, ALJs are not consistent, as some disapprove </w:t>
      </w:r>
      <w:r w:rsidRPr="00745E22">
        <w:rPr>
          <w:rFonts w:eastAsiaTheme="minorEastAsia"/>
          <w:i/>
          <w:iCs/>
        </w:rPr>
        <w:t>including but not limited to</w:t>
      </w:r>
      <w:r w:rsidRPr="00AA7141">
        <w:rPr>
          <w:rFonts w:eastAsiaTheme="minorEastAsia"/>
        </w:rPr>
        <w:t>, which semantically means the same as such as. Use these terms sparingly, if at all.</w:t>
      </w:r>
    </w:p>
    <w:p w14:paraId="34A2B502" w14:textId="77777777" w:rsidR="00AA7141" w:rsidRPr="00C77190" w:rsidRDefault="00AA7141" w:rsidP="00AA7141">
      <w:pPr>
        <w:pStyle w:val="BodyText"/>
        <w:rPr>
          <w:rFonts w:eastAsiaTheme="minorEastAsia" w:cstheme="minorBidi"/>
          <w:color w:val="003865" w:themeColor="text1"/>
          <w:kern w:val="16"/>
        </w:rPr>
      </w:pPr>
      <w:r w:rsidRPr="00C77190">
        <w:rPr>
          <w:kern w:val="16"/>
        </w:rPr>
        <w:t>Finally, the word “may”</w:t>
      </w:r>
      <w:r w:rsidRPr="00C77190">
        <w:rPr>
          <w:i/>
          <w:iCs/>
          <w:kern w:val="16"/>
        </w:rPr>
        <w:t xml:space="preserve"> </w:t>
      </w:r>
      <w:proofErr w:type="gramStart"/>
      <w:r w:rsidRPr="00C77190">
        <w:rPr>
          <w:kern w:val="16"/>
        </w:rPr>
        <w:t>is</w:t>
      </w:r>
      <w:proofErr w:type="gramEnd"/>
      <w:r w:rsidRPr="00C77190">
        <w:rPr>
          <w:kern w:val="16"/>
        </w:rPr>
        <w:t xml:space="preserve"> the most commonly cited rule defect for several reasons, but its use as it relates to a “rule” makes the language associated with the word not a rule because something may or may not happen—that is, there is no future effect.</w:t>
      </w:r>
    </w:p>
    <w:p w14:paraId="6106E88A" w14:textId="77777777" w:rsidR="00AA7141" w:rsidRPr="00C77190" w:rsidRDefault="00AA7141" w:rsidP="00AA7141">
      <w:pPr>
        <w:pStyle w:val="Heading3"/>
        <w:rPr>
          <w:kern w:val="16"/>
        </w:rPr>
      </w:pPr>
      <w:bookmarkStart w:id="20" w:name="_Toc123908421"/>
      <w:r w:rsidRPr="00C77190">
        <w:rPr>
          <w:kern w:val="16"/>
        </w:rPr>
        <w:lastRenderedPageBreak/>
        <w:t xml:space="preserve">1.2.2 </w:t>
      </w:r>
      <w:proofErr w:type="spellStart"/>
      <w:r w:rsidRPr="00C77190">
        <w:rPr>
          <w:kern w:val="16"/>
        </w:rPr>
        <w:t>Nonapplicability</w:t>
      </w:r>
      <w:bookmarkEnd w:id="20"/>
      <w:proofErr w:type="spellEnd"/>
    </w:p>
    <w:p w14:paraId="6113D5AA" w14:textId="77777777" w:rsidR="00AA7141" w:rsidRPr="00C77190" w:rsidRDefault="00AA7141" w:rsidP="00AA7141">
      <w:pPr>
        <w:pStyle w:val="BodyText"/>
        <w:rPr>
          <w:kern w:val="16"/>
        </w:rPr>
      </w:pPr>
      <w:r w:rsidRPr="00C77190">
        <w:rPr>
          <w:kern w:val="16"/>
        </w:rPr>
        <w:t>The APA carves out exceptions to the definition of a rule and states which entities are not required to comply with the APA’s rulemaking requirements.</w:t>
      </w:r>
      <w:r w:rsidRPr="00C77190">
        <w:rPr>
          <w:rStyle w:val="FootnoteReference"/>
          <w:kern w:val="16"/>
        </w:rPr>
        <w:footnoteReference w:id="9"/>
      </w:r>
    </w:p>
    <w:p w14:paraId="50F8CB4D" w14:textId="77777777" w:rsidR="00AA7141" w:rsidRPr="00C77190" w:rsidRDefault="00AA7141" w:rsidP="00AA7141">
      <w:pPr>
        <w:pStyle w:val="Heading3"/>
        <w:rPr>
          <w:kern w:val="16"/>
        </w:rPr>
      </w:pPr>
      <w:bookmarkStart w:id="21" w:name="_Toc123908422"/>
      <w:r w:rsidRPr="00C77190">
        <w:rPr>
          <w:kern w:val="16"/>
        </w:rPr>
        <w:t>1.2.3 Required rules</w:t>
      </w:r>
      <w:bookmarkEnd w:id="21"/>
    </w:p>
    <w:p w14:paraId="739C1C11" w14:textId="77777777" w:rsidR="00AA7141" w:rsidRPr="00C77190" w:rsidRDefault="00AA7141" w:rsidP="00AA7141">
      <w:pPr>
        <w:pStyle w:val="BodyText"/>
        <w:rPr>
          <w:i/>
          <w:kern w:val="16"/>
        </w:rPr>
      </w:pPr>
      <w:r w:rsidRPr="00C77190">
        <w:rPr>
          <w:kern w:val="16"/>
        </w:rPr>
        <w:t>“Each agency shall adopt rules . . . setting forth the nature and requirements of all formal and informal procedures related to the administration of official agency duties to the extent that those procedures directly affect the rights of or procedures available to the public.”</w:t>
      </w:r>
      <w:r w:rsidRPr="00C77190">
        <w:rPr>
          <w:rStyle w:val="FootnoteReference"/>
          <w:kern w:val="16"/>
        </w:rPr>
        <w:footnoteReference w:id="10"/>
      </w:r>
      <w:r w:rsidRPr="00C77190">
        <w:rPr>
          <w:kern w:val="16"/>
        </w:rPr>
        <w:t xml:space="preserve"> </w:t>
      </w:r>
    </w:p>
    <w:p w14:paraId="46EDA2E0" w14:textId="77777777" w:rsidR="00AA7141" w:rsidRPr="00C77190" w:rsidRDefault="00AA7141" w:rsidP="00AA7141">
      <w:pPr>
        <w:pStyle w:val="BodyText"/>
        <w:rPr>
          <w:kern w:val="16"/>
        </w:rPr>
      </w:pPr>
      <w:r>
        <w:rPr>
          <w:kern w:val="16"/>
        </w:rPr>
        <w:t>Agencies should not rely on this general authority</w:t>
      </w:r>
      <w:r w:rsidRPr="00C77190">
        <w:rPr>
          <w:kern w:val="16"/>
        </w:rPr>
        <w:t xml:space="preserve"> as their</w:t>
      </w:r>
      <w:r>
        <w:rPr>
          <w:kern w:val="16"/>
        </w:rPr>
        <w:t xml:space="preserve"> only</w:t>
      </w:r>
      <w:r w:rsidRPr="00C77190">
        <w:rPr>
          <w:kern w:val="16"/>
        </w:rPr>
        <w:t xml:space="preserve"> statutory authority for rulemaking. It is better to </w:t>
      </w:r>
      <w:r>
        <w:rPr>
          <w:kern w:val="16"/>
        </w:rPr>
        <w:t>cite</w:t>
      </w:r>
      <w:r w:rsidRPr="00C77190">
        <w:rPr>
          <w:kern w:val="16"/>
        </w:rPr>
        <w:t xml:space="preserve"> the agency’s most specific rulemaking authority.</w:t>
      </w:r>
    </w:p>
    <w:p w14:paraId="258E3807" w14:textId="77777777" w:rsidR="00AA7141" w:rsidRDefault="00AA7141" w:rsidP="00AA7141">
      <w:pPr>
        <w:pStyle w:val="Heading3"/>
        <w:rPr>
          <w:kern w:val="16"/>
        </w:rPr>
      </w:pPr>
      <w:bookmarkStart w:id="22" w:name="_Toc123908423"/>
      <w:r>
        <w:rPr>
          <w:kern w:val="16"/>
        </w:rPr>
        <w:t>1.2.4 Interpretation of Statutes and Rules</w:t>
      </w:r>
    </w:p>
    <w:p w14:paraId="5C08376A" w14:textId="77777777" w:rsidR="00AA7141" w:rsidRPr="00B0461A" w:rsidRDefault="00AA7141" w:rsidP="00AA7141">
      <w:r>
        <w:t xml:space="preserve">Minnesota Statutes provide interpretation of statutes and rules with information on canons of construction, </w:t>
      </w:r>
      <w:proofErr w:type="gramStart"/>
      <w:r>
        <w:t>words</w:t>
      </w:r>
      <w:proofErr w:type="gramEnd"/>
      <w:r>
        <w:t xml:space="preserve"> and phrases, counting time, etc.</w:t>
      </w:r>
      <w:r>
        <w:rPr>
          <w:rStyle w:val="FootnoteReference"/>
        </w:rPr>
        <w:footnoteReference w:id="11"/>
      </w:r>
      <w:r>
        <w:t xml:space="preserve"> </w:t>
      </w:r>
    </w:p>
    <w:p w14:paraId="4242B34D" w14:textId="77777777" w:rsidR="00AA7141" w:rsidRPr="00C77190" w:rsidRDefault="00AA7141" w:rsidP="00AA7141">
      <w:pPr>
        <w:pStyle w:val="Heading3"/>
        <w:rPr>
          <w:kern w:val="16"/>
        </w:rPr>
      </w:pPr>
      <w:r w:rsidRPr="00C77190">
        <w:rPr>
          <w:kern w:val="16"/>
        </w:rPr>
        <w:t>1.2.</w:t>
      </w:r>
      <w:r>
        <w:rPr>
          <w:kern w:val="16"/>
        </w:rPr>
        <w:t>5</w:t>
      </w:r>
      <w:r w:rsidRPr="00C77190">
        <w:rPr>
          <w:kern w:val="16"/>
        </w:rPr>
        <w:t xml:space="preserve"> Counting time</w:t>
      </w:r>
      <w:bookmarkEnd w:id="22"/>
    </w:p>
    <w:p w14:paraId="13E569FE" w14:textId="77777777" w:rsidR="00AA7141" w:rsidRPr="00C77190" w:rsidRDefault="00AA7141" w:rsidP="00AA7141">
      <w:pPr>
        <w:pStyle w:val="BodyText"/>
        <w:rPr>
          <w:kern w:val="16"/>
        </w:rPr>
      </w:pPr>
      <w:r w:rsidRPr="00C77190">
        <w:rPr>
          <w:kern w:val="16"/>
        </w:rPr>
        <w:t>The APA has many time-related provisions.</w:t>
      </w:r>
      <w:r w:rsidRPr="00C77190">
        <w:rPr>
          <w:rStyle w:val="FootnoteReference"/>
          <w:kern w:val="16"/>
        </w:rPr>
        <w:footnoteReference w:id="12"/>
      </w:r>
      <w:r w:rsidRPr="00C77190">
        <w:rPr>
          <w:kern w:val="16"/>
        </w:rPr>
        <w:t xml:space="preserve"> When counting time, the day that an action occurs—such as mailing a notice—does not count and the last day counts.</w:t>
      </w:r>
      <w:r w:rsidRPr="00C77190">
        <w:rPr>
          <w:rStyle w:val="FootnoteReference"/>
          <w:kern w:val="16"/>
        </w:rPr>
        <w:footnoteReference w:id="13"/>
      </w:r>
    </w:p>
    <w:p w14:paraId="631FE0A8" w14:textId="77777777" w:rsidR="00AA7141" w:rsidRPr="00C77190" w:rsidRDefault="00AA7141" w:rsidP="00AA7141">
      <w:pPr>
        <w:pStyle w:val="BodyText"/>
        <w:rPr>
          <w:kern w:val="16"/>
        </w:rPr>
      </w:pPr>
      <w:r w:rsidRPr="00C77190">
        <w:rPr>
          <w:b/>
          <w:bCs/>
          <w:kern w:val="16"/>
        </w:rPr>
        <w:t>Calendar day.</w:t>
      </w:r>
      <w:r w:rsidRPr="00C77190">
        <w:rPr>
          <w:kern w:val="16"/>
        </w:rPr>
        <w:t xml:space="preserve"> A period is counted in calendar days unless it is specifically stated in statute or rule that the period will be counted in “working days.” Calendar days include Saturdays, Sundays, and state holidays. However, if the period ends on a Saturday, Sunday, or state holiday, the period is extended to end on the next day that is not a Saturday, Sunday, or state holiday.</w:t>
      </w:r>
      <w:r w:rsidRPr="00C77190">
        <w:rPr>
          <w:rStyle w:val="FootnoteReference"/>
          <w:kern w:val="16"/>
        </w:rPr>
        <w:footnoteReference w:id="14"/>
      </w:r>
    </w:p>
    <w:p w14:paraId="58FA6D63" w14:textId="77777777" w:rsidR="00AA7141" w:rsidRPr="00C77190" w:rsidRDefault="00AA7141" w:rsidP="00AA7141">
      <w:pPr>
        <w:pStyle w:val="BodyText"/>
        <w:rPr>
          <w:kern w:val="16"/>
        </w:rPr>
      </w:pPr>
      <w:r w:rsidRPr="00C77190">
        <w:rPr>
          <w:kern w:val="16"/>
        </w:rPr>
        <w:t>Example: For a seven-day period, a period starting on a Monday ends the next Monday. If that Monday were a state holiday,</w:t>
      </w:r>
      <w:r w:rsidRPr="00C77190">
        <w:rPr>
          <w:rStyle w:val="FootnoteReference"/>
          <w:kern w:val="16"/>
        </w:rPr>
        <w:footnoteReference w:id="15"/>
      </w:r>
      <w:r w:rsidRPr="00C77190">
        <w:rPr>
          <w:kern w:val="16"/>
        </w:rPr>
        <w:t xml:space="preserve"> the period would end on Tuesday. </w:t>
      </w:r>
    </w:p>
    <w:p w14:paraId="1A435F6F" w14:textId="77777777" w:rsidR="00AA7141" w:rsidRPr="00C77190" w:rsidRDefault="00AA7141" w:rsidP="00AA7141">
      <w:pPr>
        <w:pStyle w:val="BodyText"/>
        <w:rPr>
          <w:kern w:val="16"/>
        </w:rPr>
      </w:pPr>
      <w:r w:rsidRPr="00C77190">
        <w:rPr>
          <w:b/>
          <w:bCs/>
          <w:kern w:val="16"/>
        </w:rPr>
        <w:t>Working day</w:t>
      </w:r>
      <w:r w:rsidRPr="00C77190">
        <w:rPr>
          <w:kern w:val="16"/>
        </w:rPr>
        <w:t>. Working days do not include Saturdays, Sundays, and state holidays.</w:t>
      </w:r>
      <w:r w:rsidRPr="00C77190">
        <w:rPr>
          <w:rStyle w:val="FootnoteReference"/>
          <w:kern w:val="16"/>
        </w:rPr>
        <w:footnoteReference w:id="16"/>
      </w:r>
      <w:r w:rsidRPr="00C77190">
        <w:rPr>
          <w:kern w:val="16"/>
        </w:rPr>
        <w:t xml:space="preserve"> </w:t>
      </w:r>
    </w:p>
    <w:p w14:paraId="25B0F174" w14:textId="77777777" w:rsidR="00AA7141" w:rsidRPr="00C77190" w:rsidRDefault="00AA7141" w:rsidP="00AA7141">
      <w:pPr>
        <w:pStyle w:val="BodyText"/>
        <w:rPr>
          <w:kern w:val="16"/>
        </w:rPr>
      </w:pPr>
      <w:r w:rsidRPr="00C77190">
        <w:rPr>
          <w:kern w:val="16"/>
        </w:rPr>
        <w:t>Example: For a seven-day period, a period starting on a Monday would end the next Wednesday. If a state holiday falls within the seven-day period, the period would be extended and end on Thursday.</w:t>
      </w:r>
    </w:p>
    <w:p w14:paraId="102BB799" w14:textId="77777777" w:rsidR="00AA7141" w:rsidRPr="00C77190" w:rsidRDefault="00AA7141" w:rsidP="00AA7141">
      <w:pPr>
        <w:pStyle w:val="Heading2"/>
        <w:rPr>
          <w:kern w:val="16"/>
        </w:rPr>
      </w:pPr>
      <w:bookmarkStart w:id="23" w:name="_Toc123908424"/>
      <w:r w:rsidRPr="00C77190">
        <w:rPr>
          <w:kern w:val="16"/>
        </w:rPr>
        <w:lastRenderedPageBreak/>
        <w:t>1.3 Delegation of Power</w:t>
      </w:r>
      <w:bookmarkEnd w:id="23"/>
    </w:p>
    <w:p w14:paraId="782F34DB" w14:textId="77777777" w:rsidR="00AA7141" w:rsidRPr="00C77190" w:rsidRDefault="00AA7141" w:rsidP="00AA7141">
      <w:pPr>
        <w:pStyle w:val="BodyText"/>
        <w:rPr>
          <w:kern w:val="16"/>
        </w:rPr>
      </w:pPr>
      <w:bookmarkStart w:id="24" w:name="_Hlk66702479"/>
      <w:r w:rsidRPr="00C77190">
        <w:rPr>
          <w:kern w:val="16"/>
        </w:rPr>
        <w:t>Legislative bodies delegate rulemaking power to administrative agencies by statute, either by authorizing rules on specific topics or by a general provision that the agency may make rules necessary to carry out the purpose of statutorily assigned duties. Historically, a legislature could not delegate its lawmaking authority to administrative bodies. But because society has become increasingly complex, the courts have recognized the difficulty for legislatures to develop comprehensive regulations and, therefore, have allowed legislative bodies considerable flexibility in delegating authority.</w:t>
      </w:r>
      <w:r>
        <w:rPr>
          <w:rStyle w:val="FootnoteReference"/>
          <w:kern w:val="16"/>
        </w:rPr>
        <w:footnoteReference w:id="17"/>
      </w:r>
      <w:r w:rsidRPr="00C77190">
        <w:rPr>
          <w:kern w:val="16"/>
        </w:rPr>
        <w:t xml:space="preserve"> However, legislative delegation of authority to an administrative agency will be sustained only if the delegation was accompanied by “ascertainable,” “adequate standards,” or “intelligible principles” necessary to guide the agency. </w:t>
      </w:r>
    </w:p>
    <w:p w14:paraId="460BB250" w14:textId="77777777" w:rsidR="00AA7141" w:rsidRPr="00C77190" w:rsidRDefault="00AA7141" w:rsidP="00AA7141">
      <w:pPr>
        <w:pStyle w:val="BodyText"/>
        <w:rPr>
          <w:kern w:val="16"/>
        </w:rPr>
      </w:pPr>
      <w:r w:rsidRPr="00C77190">
        <w:rPr>
          <w:kern w:val="16"/>
        </w:rPr>
        <w:t>A rule is the product of rulemaking. Rulemaking is the part of the administrative process that resembles a legislature’s enactment of a statute. As such, rulemaking is an executive-branch quasi-legislative practice to formulate policy necessary to administer a legislatively created program and to fill any gap left, implicitly or explicitly, by the legislature. Administrative agencies have knowledge and experience to regulate and supervise programs of a highly specialized or rapidly changing subject matter.</w:t>
      </w:r>
    </w:p>
    <w:p w14:paraId="49C49189" w14:textId="77777777" w:rsidR="00AA7141" w:rsidRPr="00C77190" w:rsidRDefault="00AA7141" w:rsidP="00AA7141">
      <w:pPr>
        <w:pStyle w:val="Heading2"/>
        <w:rPr>
          <w:kern w:val="16"/>
        </w:rPr>
      </w:pPr>
      <w:bookmarkStart w:id="25" w:name="_Toc123908425"/>
      <w:bookmarkEnd w:id="24"/>
      <w:r w:rsidRPr="00C77190">
        <w:rPr>
          <w:kern w:val="16"/>
        </w:rPr>
        <w:t>1.4 The Minnesota Administrative Procedure Act</w:t>
      </w:r>
      <w:bookmarkEnd w:id="25"/>
    </w:p>
    <w:p w14:paraId="151012E2" w14:textId="77777777" w:rsidR="00AA7141" w:rsidRPr="00C77190" w:rsidRDefault="00AA7141" w:rsidP="00AA7141">
      <w:pPr>
        <w:pStyle w:val="BodyText"/>
        <w:rPr>
          <w:kern w:val="16"/>
        </w:rPr>
      </w:pPr>
      <w:r w:rsidRPr="00C77190">
        <w:rPr>
          <w:kern w:val="16"/>
        </w:rPr>
        <w:t xml:space="preserve">Rulemaking in Minnesota follows procedures outlined in the APA, Minnesota Statutes, chapter 14, and Minnesota Rules, chapter 1400. A codified set of procedures on rulemaking was first enacted in Minnesota in 1945. </w:t>
      </w:r>
    </w:p>
    <w:p w14:paraId="24B120F9" w14:textId="77777777" w:rsidR="00AA7141" w:rsidRPr="00C77190" w:rsidRDefault="00AA7141" w:rsidP="00AA7141">
      <w:pPr>
        <w:pStyle w:val="BodyText"/>
        <w:rPr>
          <w:kern w:val="16"/>
        </w:rPr>
      </w:pPr>
      <w:r w:rsidRPr="00C77190">
        <w:rPr>
          <w:kern w:val="16"/>
        </w:rPr>
        <w:t xml:space="preserve">For more on the APA’s history, the online book </w:t>
      </w:r>
      <w:r w:rsidRPr="00C77190">
        <w:rPr>
          <w:i/>
          <w:iCs/>
          <w:kern w:val="16"/>
        </w:rPr>
        <w:t>Minnesota Administrative Procedure</w:t>
      </w:r>
      <w:r w:rsidRPr="00C77190">
        <w:rPr>
          <w:kern w:val="16"/>
        </w:rPr>
        <w:t xml:space="preserve"> provides additional background.  </w:t>
      </w:r>
    </w:p>
    <w:p w14:paraId="3A4AC520" w14:textId="77777777" w:rsidR="00AA7141" w:rsidRPr="00C77190" w:rsidRDefault="00AA7141" w:rsidP="00AA7141">
      <w:pPr>
        <w:pStyle w:val="Heading2"/>
        <w:rPr>
          <w:kern w:val="16"/>
        </w:rPr>
      </w:pPr>
      <w:bookmarkStart w:id="26" w:name="_Toc123908426"/>
      <w:r w:rsidRPr="00C77190">
        <w:rPr>
          <w:kern w:val="16"/>
        </w:rPr>
        <w:t>1.5 Office of Administrative Hearings Rules</w:t>
      </w:r>
      <w:bookmarkEnd w:id="26"/>
    </w:p>
    <w:p w14:paraId="61794034" w14:textId="77777777" w:rsidR="00AA7141" w:rsidRPr="00C77190" w:rsidRDefault="00AA7141" w:rsidP="00AA7141">
      <w:pPr>
        <w:pStyle w:val="BodyText"/>
        <w:rPr>
          <w:kern w:val="16"/>
        </w:rPr>
      </w:pPr>
      <w:r w:rsidRPr="00C77190">
        <w:rPr>
          <w:kern w:val="16"/>
        </w:rPr>
        <w:t xml:space="preserve">The Office of Administrative Hearings (OAH) is charged with many responsibilities under the APA. OAH has, therefore, adopted rules under Minnesota Rules, chapter 1400. For general information about OAH, refer to </w:t>
      </w:r>
      <w:r w:rsidRPr="00C77190">
        <w:rPr>
          <w:b/>
          <w:bCs/>
          <w:kern w:val="16"/>
        </w:rPr>
        <w:t xml:space="preserve">OAH-INF </w:t>
      </w:r>
      <w:r w:rsidRPr="00C77190">
        <w:rPr>
          <w:kern w:val="16"/>
        </w:rPr>
        <w:t xml:space="preserve">in the appendix. </w:t>
      </w:r>
    </w:p>
    <w:p w14:paraId="03A0F418" w14:textId="77777777" w:rsidR="00AA7141" w:rsidRPr="00C77190" w:rsidRDefault="00AA7141" w:rsidP="00AA7141">
      <w:pPr>
        <w:pStyle w:val="Heading2"/>
        <w:rPr>
          <w:kern w:val="16"/>
        </w:rPr>
      </w:pPr>
      <w:bookmarkStart w:id="27" w:name="_Toc123908427"/>
      <w:r w:rsidRPr="00C77190">
        <w:rPr>
          <w:kern w:val="16"/>
        </w:rPr>
        <w:t>1.6 Governor’s Office Rule Review Process</w:t>
      </w:r>
      <w:bookmarkEnd w:id="27"/>
    </w:p>
    <w:p w14:paraId="50C0F118" w14:textId="77777777" w:rsidR="00AA7141" w:rsidRPr="00C77190" w:rsidRDefault="00AA7141" w:rsidP="00AA7141">
      <w:pPr>
        <w:pStyle w:val="BodyText"/>
        <w:rPr>
          <w:kern w:val="16"/>
        </w:rPr>
      </w:pPr>
      <w:r w:rsidRPr="00C77190">
        <w:rPr>
          <w:kern w:val="16"/>
        </w:rPr>
        <w:t>The Governor may veto rules.</w:t>
      </w:r>
      <w:r w:rsidRPr="00C77190">
        <w:rPr>
          <w:rStyle w:val="FootnoteReference"/>
          <w:kern w:val="16"/>
        </w:rPr>
        <w:footnoteReference w:id="18"/>
      </w:r>
      <w:r w:rsidRPr="00C77190">
        <w:rPr>
          <w:kern w:val="16"/>
        </w:rPr>
        <w:t xml:space="preserve"> This statutory veto authority occurs at the end of the rulemaking process when 99.9% of the work on the rules is done. To reduce the risk of a veto at that late stage, agencies submit rules to the Governor’s Office for review at three different points during the </w:t>
      </w:r>
      <w:r w:rsidRPr="00C77190">
        <w:rPr>
          <w:kern w:val="16"/>
        </w:rPr>
        <w:lastRenderedPageBreak/>
        <w:t xml:space="preserve">rulemaking process. This way, if the Governor opposes the rules, the agency can stop the project early in the process and avoid wasting considerable time and effort by governmental staff and stakeholders. If the Governor wants the rules to take a different direction, the agency can redirect the rules at a point in the process where an advisory committee and the public have a chance to respond to the Governor’s decision. For a copy of the administrative rule review policy, see </w:t>
      </w:r>
      <w:r w:rsidRPr="00C77190">
        <w:rPr>
          <w:b/>
          <w:bCs/>
          <w:kern w:val="16"/>
        </w:rPr>
        <w:t>GOV-PLCY</w:t>
      </w:r>
      <w:r w:rsidRPr="00C77190">
        <w:rPr>
          <w:kern w:val="16"/>
        </w:rPr>
        <w:t xml:space="preserve"> in the appendix.</w:t>
      </w:r>
    </w:p>
    <w:p w14:paraId="14EDFE49" w14:textId="77777777" w:rsidR="00AA7141" w:rsidRPr="00C77190" w:rsidRDefault="00AA7141" w:rsidP="00AA7141">
      <w:pPr>
        <w:pStyle w:val="BodyText"/>
        <w:rPr>
          <w:kern w:val="16"/>
        </w:rPr>
      </w:pPr>
      <w:r w:rsidRPr="00C77190">
        <w:rPr>
          <w:kern w:val="16"/>
        </w:rPr>
        <w:t>The Legislative Coordinator manages the rules review process for the Governor’s Office and works with Governor’s Office staff to ensure a quick turnaround when rules are submitted for review. You can also communicate directly with your agency’s assigned policy advisor.</w:t>
      </w:r>
    </w:p>
    <w:p w14:paraId="094104D3" w14:textId="77777777" w:rsidR="00AA7141" w:rsidRPr="00C77190" w:rsidRDefault="00AA7141" w:rsidP="00AA7141">
      <w:pPr>
        <w:pStyle w:val="BodyText"/>
        <w:rPr>
          <w:kern w:val="16"/>
        </w:rPr>
      </w:pPr>
      <w:r w:rsidRPr="00C77190">
        <w:rPr>
          <w:b/>
          <w:bCs/>
          <w:kern w:val="16"/>
        </w:rPr>
        <w:t xml:space="preserve">Note: </w:t>
      </w:r>
      <w:r w:rsidRPr="00C77190">
        <w:rPr>
          <w:kern w:val="16"/>
        </w:rPr>
        <w:t>The Governor’s Office encourages agencies to deliver documents via email. You may submit electronic rulemaking forms in PDF format to the Legislative Coordinator.</w:t>
      </w:r>
    </w:p>
    <w:p w14:paraId="1E62BF03" w14:textId="77777777" w:rsidR="00AA7141" w:rsidRPr="00C77190" w:rsidRDefault="00AA7141" w:rsidP="00AA7141">
      <w:pPr>
        <w:pStyle w:val="Heading2"/>
        <w:rPr>
          <w:kern w:val="16"/>
        </w:rPr>
      </w:pPr>
      <w:bookmarkStart w:id="28" w:name="_Toc123908428"/>
      <w:r w:rsidRPr="00C77190">
        <w:rPr>
          <w:kern w:val="16"/>
        </w:rPr>
        <w:t>1.7 eFiling and eComments</w:t>
      </w:r>
      <w:bookmarkEnd w:id="28"/>
    </w:p>
    <w:p w14:paraId="4D469DF2" w14:textId="77777777" w:rsidR="00AA7141" w:rsidRPr="00C77190" w:rsidRDefault="00AA7141" w:rsidP="00AA7141">
      <w:pPr>
        <w:pStyle w:val="BodyText"/>
        <w:rPr>
          <w:kern w:val="16"/>
        </w:rPr>
      </w:pPr>
      <w:r w:rsidRPr="00C77190">
        <w:rPr>
          <w:kern w:val="16"/>
        </w:rPr>
        <w:t>Agencies may file rule-related documents electronically with OAH through its eFiling system. OAH also has a system for receiving public comments electronically.</w:t>
      </w:r>
    </w:p>
    <w:p w14:paraId="29262E2C" w14:textId="77777777" w:rsidR="00AA7141" w:rsidRPr="00C77190" w:rsidRDefault="00AA7141" w:rsidP="00AA7141">
      <w:pPr>
        <w:pStyle w:val="BodyText"/>
        <w:rPr>
          <w:kern w:val="16"/>
        </w:rPr>
      </w:pPr>
      <w:r w:rsidRPr="00C77190">
        <w:rPr>
          <w:b/>
          <w:bCs/>
          <w:kern w:val="16"/>
        </w:rPr>
        <w:t>Note:</w:t>
      </w:r>
      <w:r w:rsidRPr="00C77190">
        <w:rPr>
          <w:kern w:val="16"/>
        </w:rPr>
        <w:t xml:space="preserve"> With the advent of eFiling and eComments, OAH’s systems continue to evolve. eFiling is the default for business with OAH. But for public comment periods, using the eComments system remains voluntary unless the APA requires the administrative law judge (ALJ) to receive comments. OAH, the Revisor’s Office, and Secretary of State’s Office now accomplish the final steps electronically.</w:t>
      </w:r>
      <w:r w:rsidRPr="00C77190">
        <w:rPr>
          <w:rStyle w:val="FootnoteReference"/>
          <w:kern w:val="16"/>
        </w:rPr>
        <w:footnoteReference w:id="19"/>
      </w:r>
      <w:r w:rsidRPr="00C77190">
        <w:rPr>
          <w:kern w:val="16"/>
        </w:rPr>
        <w:t xml:space="preserve"> </w:t>
      </w:r>
    </w:p>
    <w:p w14:paraId="38C61EFC" w14:textId="77777777" w:rsidR="00AA7141" w:rsidRPr="00C77190" w:rsidRDefault="00AA7141" w:rsidP="00AA7141">
      <w:pPr>
        <w:pStyle w:val="Heading3"/>
        <w:rPr>
          <w:kern w:val="16"/>
        </w:rPr>
      </w:pPr>
      <w:bookmarkStart w:id="29" w:name="_Toc123908429"/>
      <w:r w:rsidRPr="00C77190">
        <w:rPr>
          <w:kern w:val="16"/>
        </w:rPr>
        <w:t>1.7.1 eFiling rule-related documents</w:t>
      </w:r>
      <w:bookmarkEnd w:id="29"/>
    </w:p>
    <w:p w14:paraId="239F6A96" w14:textId="5292C493" w:rsidR="00AA7141" w:rsidRPr="00C77190" w:rsidRDefault="00AA7141" w:rsidP="00AA7141">
      <w:pPr>
        <w:pStyle w:val="BodyText"/>
        <w:rPr>
          <w:kern w:val="16"/>
        </w:rPr>
      </w:pPr>
      <w:r w:rsidRPr="00C77190">
        <w:rPr>
          <w:kern w:val="16"/>
        </w:rPr>
        <w:t xml:space="preserve">All documents submitted for review by an ALJ should be eFiled whenever possible. OAH has posted step-by-step instructions for creating an account and filing your documents on its website at </w:t>
      </w:r>
      <w:hyperlink r:id="rId37" w:history="1">
        <w:r w:rsidRPr="00004C63">
          <w:rPr>
            <w:rStyle w:val="Hyperlink"/>
            <w:rFonts w:eastAsiaTheme="majorEastAsia"/>
            <w:kern w:val="16"/>
          </w:rPr>
          <w:t>OAH eFiling (https://mn.gov/oah/forms-and-filing/efiling/)</w:t>
        </w:r>
      </w:hyperlink>
      <w:r w:rsidRPr="00C77190">
        <w:rPr>
          <w:kern w:val="16"/>
        </w:rPr>
        <w:t>. (The page also includes a link to frequently asked questions.) You may also request a hearing date through eFiling, or, if you have difficulty with the eFiling system, you may call OAH via telephone.</w:t>
      </w:r>
    </w:p>
    <w:p w14:paraId="35C8C972" w14:textId="77777777" w:rsidR="00AA7141" w:rsidRPr="00C77190" w:rsidRDefault="00AA7141" w:rsidP="00AA7141">
      <w:pPr>
        <w:pStyle w:val="Heading4"/>
        <w:rPr>
          <w:b/>
          <w:kern w:val="16"/>
        </w:rPr>
      </w:pPr>
      <w:r w:rsidRPr="00C77190">
        <w:rPr>
          <w:kern w:val="16"/>
        </w:rPr>
        <w:t>1.7.1.1 Obtaining an OAH docket number and ALJ assignment</w:t>
      </w:r>
    </w:p>
    <w:p w14:paraId="72E4E2CB" w14:textId="77777777" w:rsidR="00AA7141" w:rsidRPr="00C77190" w:rsidRDefault="00AA7141" w:rsidP="00AA7141">
      <w:pPr>
        <w:pStyle w:val="BodyText"/>
        <w:rPr>
          <w:kern w:val="16"/>
        </w:rPr>
      </w:pPr>
      <w:r w:rsidRPr="00C77190">
        <w:rPr>
          <w:kern w:val="16"/>
        </w:rPr>
        <w:t xml:space="preserve">You must obtain a docket number and ALJ assignment before submitting your documents for OAH review. </w:t>
      </w:r>
    </w:p>
    <w:p w14:paraId="51DD716B" w14:textId="122E3A2E" w:rsidR="00AA7141" w:rsidRPr="00C77190" w:rsidRDefault="00AA7141" w:rsidP="00AA7141">
      <w:pPr>
        <w:pStyle w:val="BodyText"/>
        <w:numPr>
          <w:ilvl w:val="0"/>
          <w:numId w:val="28"/>
        </w:numPr>
        <w:rPr>
          <w:kern w:val="16"/>
        </w:rPr>
      </w:pPr>
      <w:r w:rsidRPr="00C77190">
        <w:rPr>
          <w:kern w:val="16"/>
        </w:rPr>
        <w:t xml:space="preserve">Complete the Notice of Appearance form available on the OAH website at </w:t>
      </w:r>
      <w:hyperlink r:id="rId38" w:history="1">
        <w:r w:rsidRPr="00004C63">
          <w:rPr>
            <w:rStyle w:val="Hyperlink"/>
            <w:rFonts w:eastAsiaTheme="majorEastAsia"/>
            <w:kern w:val="16"/>
          </w:rPr>
          <w:t>OAH Forms (https://mn.gov/oah/forms-and-filing/forms/)</w:t>
        </w:r>
      </w:hyperlink>
      <w:r w:rsidRPr="00C77190">
        <w:rPr>
          <w:kern w:val="16"/>
        </w:rPr>
        <w:t>. (Skip the OAH Docket Number field at the top of the form. You will receive your docket number as part of this process.)</w:t>
      </w:r>
    </w:p>
    <w:p w14:paraId="3754F076" w14:textId="77777777" w:rsidR="00AA7141" w:rsidRPr="00C77190" w:rsidRDefault="00AA7141" w:rsidP="00AA7141">
      <w:pPr>
        <w:pStyle w:val="BodyText"/>
        <w:numPr>
          <w:ilvl w:val="0"/>
          <w:numId w:val="28"/>
        </w:numPr>
        <w:rPr>
          <w:kern w:val="16"/>
        </w:rPr>
      </w:pPr>
      <w:r w:rsidRPr="00C77190">
        <w:rPr>
          <w:kern w:val="16"/>
        </w:rPr>
        <w:lastRenderedPageBreak/>
        <w:t xml:space="preserve">Complete the online </w:t>
      </w:r>
      <w:hyperlink r:id="rId39" w:history="1">
        <w:r w:rsidRPr="00004C63">
          <w:rPr>
            <w:rStyle w:val="Hyperlink"/>
            <w:rFonts w:eastAsiaTheme="majorEastAsia"/>
            <w:kern w:val="16"/>
          </w:rPr>
          <w:t>Contested Case Docket Request on the OAH website (https://mn.gov/oah/lawyers-and-litigants/administrative-law/docket-request.jsp)</w:t>
        </w:r>
      </w:hyperlink>
      <w:r w:rsidRPr="00C77190">
        <w:rPr>
          <w:kern w:val="16"/>
        </w:rPr>
        <w:t>; skip any nonapplicable fields in the request form. Identify the responsible agency unit as the Party Name. Attach the Notice of Appearance to your request. (Note that the Contested Case Docket Request form is used, even though rulemaking does not involve a contested case hearing.  That is why some of the fields do not apply or field labels are an awkward fit, such as “Party Name.”)</w:t>
      </w:r>
    </w:p>
    <w:p w14:paraId="5099A97F" w14:textId="77777777" w:rsidR="00AA7141" w:rsidRPr="00C77190" w:rsidRDefault="00AA7141" w:rsidP="00AA7141">
      <w:pPr>
        <w:pStyle w:val="BodyText"/>
        <w:numPr>
          <w:ilvl w:val="0"/>
          <w:numId w:val="28"/>
        </w:numPr>
        <w:rPr>
          <w:kern w:val="16"/>
        </w:rPr>
      </w:pPr>
      <w:r w:rsidRPr="00C77190">
        <w:rPr>
          <w:kern w:val="16"/>
        </w:rPr>
        <w:t>OAH staff will create an eFiling folder and notify you of the ALJ assignment and OAH docket number</w:t>
      </w:r>
      <w:r>
        <w:rPr>
          <w:kern w:val="16"/>
        </w:rPr>
        <w:t xml:space="preserve"> via the Initial Schedule Email from an OAH scheduler</w:t>
      </w:r>
      <w:r w:rsidRPr="00C77190">
        <w:rPr>
          <w:kern w:val="16"/>
        </w:rPr>
        <w:t>.</w:t>
      </w:r>
    </w:p>
    <w:p w14:paraId="320843AE" w14:textId="77777777" w:rsidR="00AA7141" w:rsidRPr="00C77190" w:rsidRDefault="00AA7141" w:rsidP="00AA7141">
      <w:pPr>
        <w:pStyle w:val="BodyText"/>
        <w:numPr>
          <w:ilvl w:val="0"/>
          <w:numId w:val="28"/>
        </w:numPr>
        <w:rPr>
          <w:kern w:val="16"/>
        </w:rPr>
      </w:pPr>
      <w:r>
        <w:rPr>
          <w:kern w:val="16"/>
        </w:rPr>
        <w:t>A separate,</w:t>
      </w:r>
      <w:r w:rsidRPr="00C77190">
        <w:rPr>
          <w:kern w:val="16"/>
        </w:rPr>
        <w:t xml:space="preserve"> automated email will be sent to your email address</w:t>
      </w:r>
      <w:r>
        <w:rPr>
          <w:kern w:val="16"/>
        </w:rPr>
        <w:t xml:space="preserve"> for eFiling access</w:t>
      </w:r>
      <w:r w:rsidRPr="00C77190">
        <w:rPr>
          <w:kern w:val="16"/>
        </w:rPr>
        <w:t>. Check your spam folder if you do not receive an email. Click the link in the email to view your eFile folder (and activate your account if this is your first time eFiling).</w:t>
      </w:r>
      <w:r>
        <w:rPr>
          <w:kern w:val="16"/>
        </w:rPr>
        <w:t xml:space="preserve"> The email address(es) listed on the Notice of Appearance will be the one(s) that are granted eFiling access.</w:t>
      </w:r>
    </w:p>
    <w:p w14:paraId="02193C30" w14:textId="77777777" w:rsidR="00AA7141" w:rsidRPr="00C77190" w:rsidRDefault="00AA7141" w:rsidP="00AA7141">
      <w:pPr>
        <w:pStyle w:val="Heading4"/>
        <w:rPr>
          <w:b/>
          <w:kern w:val="16"/>
        </w:rPr>
      </w:pPr>
      <w:r w:rsidRPr="00C77190">
        <w:rPr>
          <w:kern w:val="16"/>
        </w:rPr>
        <w:t>1.7.1.2 eFiling documents</w:t>
      </w:r>
    </w:p>
    <w:p w14:paraId="1D26A5FA" w14:textId="77777777" w:rsidR="00AA7141" w:rsidRPr="00C77190" w:rsidRDefault="00AA7141" w:rsidP="00AA7141">
      <w:pPr>
        <w:pStyle w:val="BodyText"/>
        <w:rPr>
          <w:kern w:val="16"/>
        </w:rPr>
      </w:pPr>
      <w:r w:rsidRPr="00C77190">
        <w:rPr>
          <w:kern w:val="16"/>
        </w:rPr>
        <w:t xml:space="preserve">Always check to ensure that the system has uploaded your documents. Saving a screen shot or printing the window showing a file has uploaded is prudent. In addition, save any correspondence or documents that you receive from OAH for your own records </w:t>
      </w:r>
      <w:r>
        <w:rPr>
          <w:kern w:val="16"/>
        </w:rPr>
        <w:t>because</w:t>
      </w:r>
      <w:r w:rsidRPr="00C77190">
        <w:rPr>
          <w:kern w:val="16"/>
        </w:rPr>
        <w:t xml:space="preserve"> those items might not remain in your eFile folder.</w:t>
      </w:r>
    </w:p>
    <w:p w14:paraId="6EBA2590" w14:textId="77777777" w:rsidR="00AA7141" w:rsidRPr="00C77190" w:rsidRDefault="00AA7141" w:rsidP="00AA7141">
      <w:pPr>
        <w:pStyle w:val="Heading3"/>
        <w:rPr>
          <w:kern w:val="16"/>
        </w:rPr>
      </w:pPr>
      <w:bookmarkStart w:id="30" w:name="_Toc123908430"/>
      <w:r w:rsidRPr="00C77190">
        <w:rPr>
          <w:kern w:val="16"/>
        </w:rPr>
        <w:t>1.7.2 Public comments using eComments website</w:t>
      </w:r>
      <w:bookmarkEnd w:id="30"/>
    </w:p>
    <w:p w14:paraId="763FE990" w14:textId="7BF6420A" w:rsidR="00AA7141" w:rsidRPr="00C77190" w:rsidRDefault="00AA7141" w:rsidP="00AA7141">
      <w:pPr>
        <w:pStyle w:val="BodyText"/>
        <w:rPr>
          <w:kern w:val="16"/>
        </w:rPr>
      </w:pPr>
      <w:r w:rsidRPr="00C77190">
        <w:rPr>
          <w:kern w:val="16"/>
        </w:rPr>
        <w:t xml:space="preserve">Strongly consider using OAH’s eComments website for collecting your public comments. If agencies request to use an eComments site, OAH will collect public comments on its </w:t>
      </w:r>
      <w:hyperlink r:id="rId40" w:history="1">
        <w:r w:rsidR="001D7E7B">
          <w:rPr>
            <w:rStyle w:val="Hyperlink"/>
            <w:rFonts w:eastAsiaTheme="majorEastAsia"/>
            <w:kern w:val="16"/>
          </w:rPr>
          <w:t>eComments website (https://mn.gov/oah/forms-and-filing/ecomments/)</w:t>
        </w:r>
      </w:hyperlink>
      <w:r w:rsidRPr="00C77190">
        <w:rPr>
          <w:kern w:val="16"/>
        </w:rPr>
        <w:t xml:space="preserve">, as well as through U.S. Mail, eFiling, personal </w:t>
      </w:r>
      <w:r>
        <w:rPr>
          <w:kern w:val="16"/>
        </w:rPr>
        <w:t>delivery</w:t>
      </w:r>
      <w:r w:rsidRPr="00C77190">
        <w:rPr>
          <w:kern w:val="16"/>
        </w:rPr>
        <w:t xml:space="preserve">, or fax. </w:t>
      </w:r>
      <w:r w:rsidRPr="00C77190">
        <w:rPr>
          <w:kern w:val="16"/>
          <w:lang w:val="en"/>
        </w:rPr>
        <w:t xml:space="preserve">Public instructions for making comments can be found at </w:t>
      </w:r>
      <w:r w:rsidR="001D7E7B" w:rsidRPr="00C77190">
        <w:rPr>
          <w:kern w:val="16"/>
        </w:rPr>
        <w:t xml:space="preserve">its </w:t>
      </w:r>
      <w:hyperlink r:id="rId41" w:history="1">
        <w:r w:rsidR="001D7E7B">
          <w:rPr>
            <w:rStyle w:val="Hyperlink"/>
            <w:rFonts w:eastAsiaTheme="majorEastAsia"/>
            <w:kern w:val="16"/>
          </w:rPr>
          <w:t>eComments website (https://mn.gov/oah/forms-and-filing/ecomments/)</w:t>
        </w:r>
      </w:hyperlink>
      <w:r w:rsidRPr="00C77190">
        <w:rPr>
          <w:kern w:val="16"/>
        </w:rPr>
        <w:t>.</w:t>
      </w:r>
    </w:p>
    <w:p w14:paraId="0CF03B04" w14:textId="572EA381" w:rsidR="00AA7141" w:rsidRPr="00C77190" w:rsidRDefault="00AA7141" w:rsidP="00AA7141">
      <w:pPr>
        <w:pStyle w:val="BodyText"/>
        <w:rPr>
          <w:kern w:val="16"/>
        </w:rPr>
      </w:pPr>
      <w:r w:rsidRPr="00C77190">
        <w:rPr>
          <w:kern w:val="16"/>
        </w:rPr>
        <w:t xml:space="preserve">To set up your public eComments site, contact OAH Administrative Rule and Applications Specialist, William Moore, at </w:t>
      </w:r>
      <w:hyperlink r:id="rId42" w:history="1">
        <w:r w:rsidR="001D7E7B" w:rsidRPr="00471E15">
          <w:rPr>
            <w:rStyle w:val="Hyperlink"/>
            <w:kern w:val="16"/>
          </w:rPr>
          <w:t>William.T.Moore@state.mn.us</w:t>
        </w:r>
      </w:hyperlink>
      <w:r w:rsidR="001D7E7B">
        <w:rPr>
          <w:kern w:val="16"/>
        </w:rPr>
        <w:t xml:space="preserve"> </w:t>
      </w:r>
      <w:r w:rsidRPr="00C77190">
        <w:rPr>
          <w:kern w:val="16"/>
        </w:rPr>
        <w:t>or 651</w:t>
      </w:r>
      <w:r w:rsidR="001D7E7B">
        <w:rPr>
          <w:kern w:val="16"/>
        </w:rPr>
        <w:t>-</w:t>
      </w:r>
      <w:r w:rsidRPr="00C77190">
        <w:rPr>
          <w:kern w:val="16"/>
        </w:rPr>
        <w:t xml:space="preserve">361-7893 at least a week before you publish your notice in the </w:t>
      </w:r>
      <w:r w:rsidRPr="00C77190">
        <w:rPr>
          <w:i/>
          <w:kern w:val="16"/>
        </w:rPr>
        <w:t>State Register</w:t>
      </w:r>
      <w:r w:rsidRPr="00C77190">
        <w:rPr>
          <w:kern w:val="16"/>
        </w:rPr>
        <w:t xml:space="preserve"> or eFile your case. Provide the following information:</w:t>
      </w:r>
    </w:p>
    <w:p w14:paraId="7714CC1C" w14:textId="77777777" w:rsidR="00AA7141" w:rsidRPr="00C77190" w:rsidRDefault="00AA7141" w:rsidP="00AA7141">
      <w:pPr>
        <w:pStyle w:val="BodyText"/>
        <w:numPr>
          <w:ilvl w:val="0"/>
          <w:numId w:val="29"/>
        </w:numPr>
        <w:spacing w:before="120"/>
        <w:rPr>
          <w:kern w:val="16"/>
        </w:rPr>
      </w:pPr>
      <w:r w:rsidRPr="00C77190">
        <w:rPr>
          <w:kern w:val="16"/>
        </w:rPr>
        <w:t>OAH docket number, if already assigned.</w:t>
      </w:r>
    </w:p>
    <w:p w14:paraId="73E74F32" w14:textId="77777777" w:rsidR="00AA7141" w:rsidRPr="00C77190" w:rsidRDefault="00AA7141" w:rsidP="00AA7141">
      <w:pPr>
        <w:pStyle w:val="BodyText"/>
        <w:numPr>
          <w:ilvl w:val="0"/>
          <w:numId w:val="29"/>
        </w:numPr>
        <w:spacing w:before="120"/>
        <w:rPr>
          <w:kern w:val="16"/>
        </w:rPr>
      </w:pPr>
      <w:r w:rsidRPr="00C77190">
        <w:rPr>
          <w:kern w:val="16"/>
        </w:rPr>
        <w:t>The dates that the comment period will open and close.</w:t>
      </w:r>
    </w:p>
    <w:p w14:paraId="0BD62947" w14:textId="77777777" w:rsidR="00AA7141" w:rsidRPr="00C77190" w:rsidRDefault="00AA7141" w:rsidP="00AA7141">
      <w:pPr>
        <w:pStyle w:val="BodyText"/>
        <w:numPr>
          <w:ilvl w:val="0"/>
          <w:numId w:val="29"/>
        </w:numPr>
        <w:spacing w:before="120"/>
        <w:rPr>
          <w:kern w:val="16"/>
        </w:rPr>
      </w:pPr>
      <w:r w:rsidRPr="00C77190">
        <w:rPr>
          <w:kern w:val="16"/>
        </w:rPr>
        <w:t>A link to the agency’s rulemaking webpage, if applicable. OAH will add a link to the agency’s rulemaking webpage on the eComments site.</w:t>
      </w:r>
    </w:p>
    <w:p w14:paraId="31FA42DD" w14:textId="77777777" w:rsidR="00AA7141" w:rsidRPr="00C77190" w:rsidRDefault="00AA7141" w:rsidP="00AA7141">
      <w:pPr>
        <w:pStyle w:val="BodyText"/>
        <w:numPr>
          <w:ilvl w:val="0"/>
          <w:numId w:val="29"/>
        </w:numPr>
        <w:spacing w:before="120"/>
        <w:rPr>
          <w:kern w:val="16"/>
        </w:rPr>
      </w:pPr>
      <w:r w:rsidRPr="00C77190">
        <w:rPr>
          <w:kern w:val="16"/>
        </w:rPr>
        <w:t xml:space="preserve">If applicable, the date that the Notice will appear in the </w:t>
      </w:r>
      <w:r w:rsidRPr="00C77190">
        <w:rPr>
          <w:i/>
          <w:kern w:val="16"/>
        </w:rPr>
        <w:t>State Register</w:t>
      </w:r>
      <w:r w:rsidRPr="00C77190">
        <w:rPr>
          <w:kern w:val="16"/>
        </w:rPr>
        <w:t>.</w:t>
      </w:r>
    </w:p>
    <w:p w14:paraId="68E3E95B" w14:textId="4D0AA443" w:rsidR="00AA7141" w:rsidRPr="00C77190" w:rsidRDefault="00AA7141" w:rsidP="00AA7141">
      <w:pPr>
        <w:pStyle w:val="BodyText"/>
        <w:numPr>
          <w:ilvl w:val="0"/>
          <w:numId w:val="29"/>
        </w:numPr>
        <w:spacing w:before="120"/>
        <w:rPr>
          <w:kern w:val="16"/>
        </w:rPr>
      </w:pPr>
      <w:r w:rsidRPr="00C77190">
        <w:rPr>
          <w:kern w:val="16"/>
        </w:rPr>
        <w:t xml:space="preserve">Optional: Finalized, accessible copies of the documents you want to appear on the OAH eComments webpage, if any. These might include the Notice, proposed rules, SONAR, etc. See </w:t>
      </w:r>
      <w:r w:rsidRPr="00C77190">
        <w:rPr>
          <w:kern w:val="16"/>
        </w:rPr>
        <w:lastRenderedPageBreak/>
        <w:t xml:space="preserve">the </w:t>
      </w:r>
      <w:hyperlink r:id="rId43" w:history="1">
        <w:r w:rsidRPr="008573F1">
          <w:rPr>
            <w:rStyle w:val="Hyperlink"/>
            <w:rFonts w:eastAsiaTheme="majorEastAsia"/>
            <w:kern w:val="16"/>
          </w:rPr>
          <w:t>Office of Accessibility (https://mn.gov/mnit/about-mnit/accessibility/)</w:t>
        </w:r>
      </w:hyperlink>
      <w:r w:rsidRPr="00C77190">
        <w:rPr>
          <w:kern w:val="16"/>
        </w:rPr>
        <w:t xml:space="preserve"> for more information on making documents accessible.</w:t>
      </w:r>
    </w:p>
    <w:p w14:paraId="0A7C366E" w14:textId="77777777" w:rsidR="00AA7141" w:rsidRPr="00C77190" w:rsidRDefault="00AA7141" w:rsidP="00AA7141">
      <w:pPr>
        <w:pStyle w:val="BodyText"/>
        <w:rPr>
          <w:kern w:val="16"/>
        </w:rPr>
      </w:pPr>
      <w:r w:rsidRPr="00C77190">
        <w:rPr>
          <w:i/>
          <w:iCs/>
          <w:kern w:val="16"/>
        </w:rPr>
        <w:t xml:space="preserve">See </w:t>
      </w:r>
      <w:r w:rsidRPr="00C77190">
        <w:rPr>
          <w:b/>
          <w:kern w:val="16"/>
        </w:rPr>
        <w:t>OAH-INF</w:t>
      </w:r>
      <w:r w:rsidRPr="00C77190">
        <w:rPr>
          <w:kern w:val="16"/>
        </w:rPr>
        <w:t xml:space="preserve"> for more details about what to provide.</w:t>
      </w:r>
    </w:p>
    <w:p w14:paraId="5A40E2CA" w14:textId="77777777" w:rsidR="00AA7141" w:rsidRPr="00C77190" w:rsidRDefault="00AA7141" w:rsidP="00AA7141">
      <w:pPr>
        <w:pStyle w:val="BodyText"/>
        <w:rPr>
          <w:kern w:val="16"/>
        </w:rPr>
      </w:pPr>
      <w:r w:rsidRPr="00C77190">
        <w:rPr>
          <w:b/>
          <w:kern w:val="16"/>
        </w:rPr>
        <w:t>Note</w:t>
      </w:r>
      <w:r w:rsidRPr="00C77190">
        <w:rPr>
          <w:kern w:val="16"/>
        </w:rPr>
        <w:t>: Agencies must always use the eComments website after public hearings on proposed rules. Minnesota Rules, part 1400.2230, requires that commenters submit their comments to the ALJ. OAH will set up a public comment web</w:t>
      </w:r>
      <w:r>
        <w:rPr>
          <w:kern w:val="16"/>
        </w:rPr>
        <w:t xml:space="preserve"> </w:t>
      </w:r>
      <w:r w:rsidRPr="00C77190">
        <w:rPr>
          <w:kern w:val="16"/>
        </w:rPr>
        <w:t xml:space="preserve">page after the hearing. </w:t>
      </w:r>
    </w:p>
    <w:p w14:paraId="06494E81" w14:textId="77777777" w:rsidR="00AA7141" w:rsidRDefault="00AA7141" w:rsidP="00AA7141">
      <w:pPr>
        <w:pStyle w:val="BodyText"/>
        <w:rPr>
          <w:kern w:val="16"/>
        </w:rPr>
      </w:pPr>
      <w:r w:rsidRPr="00C77190">
        <w:rPr>
          <w:kern w:val="16"/>
        </w:rPr>
        <w:t>Agencies may also use this system for collecting public comments during the 60-day comment period after the Request for Comments is published or the 30-day comment period after rules are proposed.</w:t>
      </w:r>
    </w:p>
    <w:p w14:paraId="45556CA6" w14:textId="77777777" w:rsidR="00AA7141" w:rsidRPr="00C77190" w:rsidRDefault="00AA7141" w:rsidP="00AA7141">
      <w:pPr>
        <w:pStyle w:val="BodyText"/>
        <w:rPr>
          <w:kern w:val="16"/>
        </w:rPr>
      </w:pPr>
      <w:r w:rsidRPr="00C77190">
        <w:rPr>
          <w:b/>
          <w:bCs/>
          <w:kern w:val="16"/>
        </w:rPr>
        <w:t>Note:</w:t>
      </w:r>
      <w:r w:rsidRPr="00C77190">
        <w:rPr>
          <w:kern w:val="16"/>
        </w:rPr>
        <w:t xml:space="preserve"> All documents that you plan to post on OAH’s eComments page must be accessible. OAH will not post documents that are not accessible.</w:t>
      </w:r>
      <w:r>
        <w:rPr>
          <w:kern w:val="16"/>
        </w:rPr>
        <w:t xml:space="preserve"> The only exception is the rule draft received from the Revisor.</w:t>
      </w:r>
    </w:p>
    <w:p w14:paraId="79360893" w14:textId="77777777" w:rsidR="00AA7141" w:rsidRPr="00C77190" w:rsidRDefault="00AA7141" w:rsidP="00AA7141">
      <w:pPr>
        <w:pStyle w:val="Heading2"/>
        <w:rPr>
          <w:kern w:val="16"/>
        </w:rPr>
      </w:pPr>
      <w:bookmarkStart w:id="31" w:name="_Toc123908431"/>
      <w:r w:rsidRPr="00C77190">
        <w:rPr>
          <w:kern w:val="16"/>
        </w:rPr>
        <w:t>1.8 Ongoing Rule Management and Oversight Responsibilities</w:t>
      </w:r>
      <w:bookmarkEnd w:id="31"/>
      <w:r w:rsidRPr="00C77190">
        <w:rPr>
          <w:kern w:val="16"/>
        </w:rPr>
        <w:t xml:space="preserve"> </w:t>
      </w:r>
    </w:p>
    <w:p w14:paraId="28F3DB4D" w14:textId="77777777" w:rsidR="00AA7141" w:rsidRPr="00C77190" w:rsidRDefault="00AA7141" w:rsidP="00AA7141">
      <w:pPr>
        <w:pStyle w:val="BodyText"/>
        <w:rPr>
          <w:kern w:val="16"/>
        </w:rPr>
      </w:pPr>
      <w:r w:rsidRPr="00C77190">
        <w:rPr>
          <w:kern w:val="16"/>
        </w:rPr>
        <w:t xml:space="preserve">An agency has several ongoing responsibilities </w:t>
      </w:r>
      <w:r>
        <w:rPr>
          <w:kern w:val="16"/>
        </w:rPr>
        <w:t>on</w:t>
      </w:r>
      <w:r w:rsidRPr="00C77190">
        <w:rPr>
          <w:kern w:val="16"/>
        </w:rPr>
        <w:t xml:space="preserve"> the agency’s rules. </w:t>
      </w:r>
    </w:p>
    <w:p w14:paraId="2E30E207" w14:textId="77777777" w:rsidR="00AA7141" w:rsidRPr="00C77190" w:rsidRDefault="00AA7141" w:rsidP="00AA7141">
      <w:pPr>
        <w:pStyle w:val="Heading3"/>
        <w:rPr>
          <w:kern w:val="16"/>
        </w:rPr>
      </w:pPr>
      <w:bookmarkStart w:id="32" w:name="_Toc123908432"/>
      <w:r w:rsidRPr="00C77190">
        <w:rPr>
          <w:kern w:val="16"/>
        </w:rPr>
        <w:t>1.8.1 Rulemaking mailing list</w:t>
      </w:r>
      <w:bookmarkEnd w:id="32"/>
    </w:p>
    <w:p w14:paraId="245C0435" w14:textId="77777777" w:rsidR="00AA7141" w:rsidRPr="00C77190" w:rsidRDefault="00AA7141" w:rsidP="00AA7141">
      <w:pPr>
        <w:pStyle w:val="BodyText"/>
        <w:rPr>
          <w:kern w:val="16"/>
        </w:rPr>
      </w:pPr>
      <w:r w:rsidRPr="00C77190">
        <w:rPr>
          <w:kern w:val="16"/>
        </w:rPr>
        <w:t xml:space="preserve">The agency must maintain a rulemaking mailing list: </w:t>
      </w:r>
    </w:p>
    <w:p w14:paraId="791A1AAD" w14:textId="77777777" w:rsidR="00AA7141" w:rsidRPr="00C77190" w:rsidRDefault="00AA7141" w:rsidP="00AA7141">
      <w:pPr>
        <w:pStyle w:val="BodyText"/>
        <w:ind w:left="720"/>
        <w:rPr>
          <w:kern w:val="16"/>
        </w:rPr>
      </w:pPr>
      <w:r w:rsidRPr="00C77190">
        <w:rPr>
          <w:kern w:val="16"/>
        </w:rPr>
        <w:t xml:space="preserve">(a) Each agency shall maintain a list of all persons who have registered with the agency for the purpose of receiving notice of rule proceedings. Persons may register to receive notice of rule proceedings by submitting to the agency: </w:t>
      </w:r>
    </w:p>
    <w:p w14:paraId="797E4C3D" w14:textId="77777777" w:rsidR="00AA7141" w:rsidRPr="00C77190" w:rsidRDefault="00AA7141" w:rsidP="00AA7141">
      <w:pPr>
        <w:pStyle w:val="BodyText"/>
        <w:spacing w:before="120"/>
        <w:ind w:left="1080"/>
        <w:rPr>
          <w:kern w:val="16"/>
        </w:rPr>
      </w:pPr>
      <w:r w:rsidRPr="00C77190">
        <w:rPr>
          <w:kern w:val="16"/>
        </w:rPr>
        <w:t xml:space="preserve">(1) their electronic mail address; or </w:t>
      </w:r>
    </w:p>
    <w:p w14:paraId="7D3FC7DA" w14:textId="77777777" w:rsidR="00AA7141" w:rsidRPr="00C77190" w:rsidRDefault="00AA7141" w:rsidP="00AA7141">
      <w:pPr>
        <w:pStyle w:val="BodyText"/>
        <w:ind w:left="1080"/>
        <w:rPr>
          <w:kern w:val="16"/>
        </w:rPr>
      </w:pPr>
      <w:r w:rsidRPr="00C77190">
        <w:rPr>
          <w:kern w:val="16"/>
        </w:rPr>
        <w:t>(2) their name and United States mail address.</w:t>
      </w:r>
      <w:r>
        <w:rPr>
          <w:rStyle w:val="FootnoteReference"/>
          <w:kern w:val="16"/>
        </w:rPr>
        <w:footnoteReference w:id="20"/>
      </w:r>
      <w:r w:rsidRPr="00C77190">
        <w:rPr>
          <w:kern w:val="16"/>
        </w:rPr>
        <w:t xml:space="preserve"> </w:t>
      </w:r>
    </w:p>
    <w:p w14:paraId="12E2F49A" w14:textId="77777777" w:rsidR="00AA7141" w:rsidRPr="00C77190" w:rsidRDefault="00AA7141" w:rsidP="00AA7141">
      <w:pPr>
        <w:pStyle w:val="BodyText"/>
        <w:rPr>
          <w:kern w:val="16"/>
        </w:rPr>
      </w:pPr>
      <w:r w:rsidRPr="00C77190">
        <w:rPr>
          <w:b/>
          <w:kern w:val="16"/>
        </w:rPr>
        <w:t>Note</w:t>
      </w:r>
      <w:r w:rsidRPr="00C77190">
        <w:rPr>
          <w:kern w:val="16"/>
        </w:rPr>
        <w:t>: The statute further states</w:t>
      </w:r>
      <w:r>
        <w:rPr>
          <w:kern w:val="16"/>
        </w:rPr>
        <w:t xml:space="preserve"> that</w:t>
      </w:r>
      <w:r w:rsidRPr="00C77190">
        <w:rPr>
          <w:kern w:val="16"/>
        </w:rPr>
        <w:t xml:space="preserve"> “[t]he agency may inquire as to whether those persons on the list wish to remain on it and may remove persons for whom there is a negative reply or no reply within 60 days.”</w:t>
      </w:r>
    </w:p>
    <w:p w14:paraId="27CE7BE8" w14:textId="77777777" w:rsidR="00AA7141" w:rsidRPr="00C77190" w:rsidRDefault="00AA7141" w:rsidP="00AA7141">
      <w:pPr>
        <w:pStyle w:val="Heading3"/>
        <w:rPr>
          <w:kern w:val="16"/>
        </w:rPr>
      </w:pPr>
      <w:bookmarkStart w:id="33" w:name="_Toc123908433"/>
      <w:r w:rsidRPr="00C77190">
        <w:rPr>
          <w:kern w:val="16"/>
        </w:rPr>
        <w:t>1.8.2 Public rulemaking docket</w:t>
      </w:r>
      <w:bookmarkEnd w:id="33"/>
    </w:p>
    <w:p w14:paraId="37744375" w14:textId="77777777" w:rsidR="00AA7141" w:rsidRPr="00C77190" w:rsidRDefault="00AA7141" w:rsidP="00AA7141">
      <w:pPr>
        <w:pStyle w:val="BodyText"/>
        <w:rPr>
          <w:kern w:val="16"/>
        </w:rPr>
      </w:pPr>
      <w:r w:rsidRPr="00C77190">
        <w:rPr>
          <w:kern w:val="16"/>
        </w:rPr>
        <w:t>The agency must maintain a current, public rulemaking docket. The rulemaking docket must contain a listing of each possible proposed rule under active consideration and each pending rulemaking proceeding. There is an extensive list of details that must be included for each rulemaking project.</w:t>
      </w:r>
      <w:r w:rsidRPr="00C77190">
        <w:rPr>
          <w:rStyle w:val="FootnoteReference"/>
          <w:kern w:val="16"/>
        </w:rPr>
        <w:footnoteReference w:id="21"/>
      </w:r>
      <w:r w:rsidRPr="00C77190">
        <w:rPr>
          <w:kern w:val="16"/>
        </w:rPr>
        <w:t xml:space="preserve"> </w:t>
      </w:r>
    </w:p>
    <w:p w14:paraId="024CA09F" w14:textId="77777777" w:rsidR="00AA7141" w:rsidRPr="00C77190" w:rsidRDefault="00AA7141" w:rsidP="00AA7141">
      <w:pPr>
        <w:pStyle w:val="BodyText"/>
        <w:rPr>
          <w:kern w:val="16"/>
        </w:rPr>
      </w:pPr>
      <w:r w:rsidRPr="00C77190">
        <w:rPr>
          <w:kern w:val="16"/>
        </w:rPr>
        <w:lastRenderedPageBreak/>
        <w:t>By January 15 each year, agencies must submit their rulemaking docket and the official rulemaking record required under Minnesota Statutes, section 14.365, for any rule adopted during the preceding calendar year to the chairs and ranking minority members of the legislative policy and budget committees with jurisdiction over the subject matter of the proposed rule.</w:t>
      </w:r>
      <w:r w:rsidRPr="00C77190">
        <w:rPr>
          <w:rStyle w:val="FootnoteReference"/>
          <w:kern w:val="16"/>
        </w:rPr>
        <w:footnoteReference w:id="22"/>
      </w:r>
      <w:r w:rsidRPr="00C77190">
        <w:rPr>
          <w:kern w:val="16"/>
        </w:rPr>
        <w:t xml:space="preserve"> You must also copy the Legislative Reference Library, as required by statute.</w:t>
      </w:r>
      <w:r w:rsidRPr="00C77190">
        <w:rPr>
          <w:rStyle w:val="FootnoteReference"/>
          <w:kern w:val="16"/>
        </w:rPr>
        <w:footnoteReference w:id="23"/>
      </w:r>
    </w:p>
    <w:p w14:paraId="50BAA151" w14:textId="77777777" w:rsidR="00AA7141" w:rsidRPr="00C77190" w:rsidRDefault="00AA7141" w:rsidP="00AA7141">
      <w:pPr>
        <w:pStyle w:val="Heading3"/>
        <w:rPr>
          <w:kern w:val="16"/>
        </w:rPr>
      </w:pPr>
      <w:bookmarkStart w:id="34" w:name="_Toc123908434"/>
      <w:r w:rsidRPr="00C77190">
        <w:rPr>
          <w:kern w:val="16"/>
        </w:rPr>
        <w:t>1.8.3 Obsolete rules report</w:t>
      </w:r>
      <w:bookmarkEnd w:id="34"/>
    </w:p>
    <w:p w14:paraId="22CB8B0E" w14:textId="77777777" w:rsidR="00AA7141" w:rsidRPr="00C77190" w:rsidRDefault="00AA7141" w:rsidP="00AA7141">
      <w:pPr>
        <w:pStyle w:val="BodyText"/>
        <w:rPr>
          <w:kern w:val="16"/>
        </w:rPr>
      </w:pPr>
      <w:r w:rsidRPr="00C77190">
        <w:rPr>
          <w:kern w:val="16"/>
        </w:rPr>
        <w:t xml:space="preserve">These are the main requirements </w:t>
      </w:r>
      <w:r>
        <w:rPr>
          <w:kern w:val="16"/>
        </w:rPr>
        <w:t>under</w:t>
      </w:r>
      <w:r w:rsidRPr="00C77190">
        <w:rPr>
          <w:kern w:val="16"/>
        </w:rPr>
        <w:t xml:space="preserve"> Minnesota Statutes, section 14.05, subdivision 5: </w:t>
      </w:r>
    </w:p>
    <w:p w14:paraId="75A24E68" w14:textId="77777777" w:rsidR="00AA7141" w:rsidRPr="00C77190" w:rsidRDefault="00AA7141" w:rsidP="00AA7141">
      <w:pPr>
        <w:pStyle w:val="RuleManualList"/>
        <w:rPr>
          <w:kern w:val="16"/>
        </w:rPr>
      </w:pPr>
      <w:r w:rsidRPr="00C77190">
        <w:rPr>
          <w:kern w:val="16"/>
        </w:rPr>
        <w:t>By December 1</w:t>
      </w:r>
      <w:r w:rsidRPr="00C77190" w:rsidDel="00B8051A">
        <w:rPr>
          <w:kern w:val="16"/>
        </w:rPr>
        <w:t xml:space="preserve"> </w:t>
      </w:r>
      <w:r w:rsidRPr="00C77190">
        <w:rPr>
          <w:kern w:val="16"/>
        </w:rPr>
        <w:t xml:space="preserve">each year, the agency must submit a report to the governor, the Legislative Coordinating Commission (LCC), the policy and funding committees and divisions with jurisdiction over the agency, and the Revisor of Statutes. </w:t>
      </w:r>
    </w:p>
    <w:p w14:paraId="6EA6E011" w14:textId="77777777" w:rsidR="00AA7141" w:rsidRPr="00C77190" w:rsidRDefault="00AA7141" w:rsidP="00AA7141">
      <w:pPr>
        <w:pStyle w:val="RuleManualList"/>
        <w:rPr>
          <w:kern w:val="16"/>
        </w:rPr>
      </w:pPr>
      <w:r w:rsidRPr="00C77190">
        <w:rPr>
          <w:kern w:val="16"/>
        </w:rPr>
        <w:t xml:space="preserve">The report must list any of the agency’s rules that are obsolete, unnecessary, or duplicative of other state or federal statutes or rules. </w:t>
      </w:r>
    </w:p>
    <w:p w14:paraId="12EEE8C9" w14:textId="77777777" w:rsidR="00AA7141" w:rsidRPr="00C77190" w:rsidRDefault="00AA7141" w:rsidP="00AA7141">
      <w:pPr>
        <w:pStyle w:val="RuleManualList"/>
        <w:rPr>
          <w:kern w:val="16"/>
        </w:rPr>
      </w:pPr>
      <w:r w:rsidRPr="00C77190">
        <w:rPr>
          <w:kern w:val="16"/>
        </w:rPr>
        <w:t xml:space="preserve">The agency must either provide a timetable for </w:t>
      </w:r>
      <w:r>
        <w:rPr>
          <w:kern w:val="16"/>
        </w:rPr>
        <w:t>repealing</w:t>
      </w:r>
      <w:r w:rsidRPr="00C77190">
        <w:rPr>
          <w:kern w:val="16"/>
        </w:rPr>
        <w:t xml:space="preserve"> the rules or must develop a bill to repeal the rules. </w:t>
      </w:r>
    </w:p>
    <w:p w14:paraId="72651D31" w14:textId="77777777" w:rsidR="00AA7141" w:rsidRPr="00C77190" w:rsidRDefault="00AA7141" w:rsidP="00AA7141">
      <w:pPr>
        <w:pStyle w:val="RuleManualList"/>
        <w:rPr>
          <w:kern w:val="16"/>
        </w:rPr>
      </w:pPr>
      <w:r w:rsidRPr="00C77190">
        <w:rPr>
          <w:kern w:val="16"/>
        </w:rPr>
        <w:t>The report must be signed by the agency person responsible for identifying and initiating</w:t>
      </w:r>
      <w:r>
        <w:rPr>
          <w:kern w:val="16"/>
        </w:rPr>
        <w:t xml:space="preserve"> the rule</w:t>
      </w:r>
      <w:r w:rsidRPr="00C77190">
        <w:rPr>
          <w:kern w:val="16"/>
        </w:rPr>
        <w:t xml:space="preserve"> repeal. </w:t>
      </w:r>
    </w:p>
    <w:p w14:paraId="2C1DC728" w14:textId="77777777" w:rsidR="00AA7141" w:rsidRPr="00C77190" w:rsidRDefault="00AA7141" w:rsidP="00AA7141">
      <w:pPr>
        <w:pStyle w:val="RuleManualList"/>
        <w:rPr>
          <w:kern w:val="16"/>
        </w:rPr>
      </w:pPr>
      <w:r w:rsidRPr="00C77190">
        <w:rPr>
          <w:kern w:val="16"/>
        </w:rPr>
        <w:t xml:space="preserve">The report must also provide the status of any rules identified in the agency’s previous report. </w:t>
      </w:r>
    </w:p>
    <w:p w14:paraId="0D6E01CE" w14:textId="77777777" w:rsidR="00AA7141" w:rsidRPr="00C77190" w:rsidRDefault="00AA7141" w:rsidP="00AA7141">
      <w:pPr>
        <w:pStyle w:val="BodyText"/>
        <w:rPr>
          <w:kern w:val="16"/>
        </w:rPr>
      </w:pPr>
      <w:r w:rsidRPr="00C77190">
        <w:rPr>
          <w:b/>
          <w:kern w:val="16"/>
        </w:rPr>
        <w:t>Note</w:t>
      </w:r>
      <w:r w:rsidRPr="00C77190">
        <w:rPr>
          <w:kern w:val="16"/>
        </w:rPr>
        <w:t>: The best practice is to submit the report to each party electronically, which may be done in a single email.</w:t>
      </w:r>
    </w:p>
    <w:p w14:paraId="5047FF1F" w14:textId="21D4EFB4" w:rsidR="00AA7141" w:rsidRPr="00C77190" w:rsidRDefault="00AA7141" w:rsidP="00AA7141">
      <w:pPr>
        <w:pStyle w:val="BodyText"/>
        <w:rPr>
          <w:kern w:val="16"/>
        </w:rPr>
      </w:pPr>
      <w:r w:rsidRPr="00C77190">
        <w:rPr>
          <w:kern w:val="16"/>
        </w:rPr>
        <w:t>You must also copy the Legislative Reference Library</w:t>
      </w:r>
      <w:r>
        <w:rPr>
          <w:kern w:val="16"/>
        </w:rPr>
        <w:t xml:space="preserve">. </w:t>
      </w:r>
      <w:r w:rsidRPr="00C77190">
        <w:rPr>
          <w:kern w:val="16"/>
        </w:rPr>
        <w:t xml:space="preserve">The library allows you to search past </w:t>
      </w:r>
      <w:hyperlink r:id="rId44">
        <w:r w:rsidR="001D7E7B">
          <w:rPr>
            <w:rStyle w:val="Hyperlink"/>
            <w:rFonts w:eastAsiaTheme="majorEastAsia"/>
            <w:kern w:val="16"/>
          </w:rPr>
          <w:t>rule-related reports (https://www.lrl.mn.gov/mndocs/mandates)</w:t>
        </w:r>
      </w:hyperlink>
      <w:r w:rsidRPr="00C77190">
        <w:rPr>
          <w:kern w:val="16"/>
        </w:rPr>
        <w:t>.</w:t>
      </w:r>
    </w:p>
    <w:p w14:paraId="75132672" w14:textId="77777777" w:rsidR="00AA7141" w:rsidRPr="00C77190" w:rsidRDefault="00AA7141" w:rsidP="00AA7141">
      <w:pPr>
        <w:pStyle w:val="Heading3"/>
        <w:rPr>
          <w:kern w:val="16"/>
        </w:rPr>
      </w:pPr>
      <w:bookmarkStart w:id="35" w:name="_Toc123908435"/>
      <w:r w:rsidRPr="00C77190">
        <w:rPr>
          <w:kern w:val="16"/>
        </w:rPr>
        <w:t>1.8.4 Maintaining official rulemaking records</w:t>
      </w:r>
      <w:bookmarkEnd w:id="35"/>
    </w:p>
    <w:p w14:paraId="7AB6C99D" w14:textId="77777777" w:rsidR="00AA7141" w:rsidRPr="00C77190" w:rsidRDefault="00AA7141" w:rsidP="00AA7141">
      <w:pPr>
        <w:pStyle w:val="BodyText"/>
        <w:rPr>
          <w:kern w:val="16"/>
        </w:rPr>
      </w:pPr>
      <w:r w:rsidRPr="00C77190">
        <w:rPr>
          <w:kern w:val="16"/>
        </w:rPr>
        <w:t>Minnesota Statutes, section 14.365, states, “The agency shall maintain the official rulemaking record for every rule adopted under sections 14.05 to 14.389. The record must be available for public inspection. The record required by this section constitutes the official and exclusive agency rulemaking record with respect to agency action on or judicial review of the rule.”</w:t>
      </w:r>
    </w:p>
    <w:p w14:paraId="516182F2" w14:textId="77777777" w:rsidR="00AA7141" w:rsidRPr="00C77190" w:rsidRDefault="00AA7141" w:rsidP="00AA7141">
      <w:pPr>
        <w:pStyle w:val="BodyText"/>
        <w:rPr>
          <w:kern w:val="16"/>
        </w:rPr>
      </w:pPr>
      <w:r w:rsidRPr="00C77190">
        <w:rPr>
          <w:b/>
          <w:kern w:val="16"/>
        </w:rPr>
        <w:t>Note</w:t>
      </w:r>
      <w:r w:rsidRPr="00C77190">
        <w:rPr>
          <w:kern w:val="16"/>
        </w:rPr>
        <w:t xml:space="preserve">: In 2013, the </w:t>
      </w:r>
      <w:r>
        <w:rPr>
          <w:kern w:val="16"/>
        </w:rPr>
        <w:t>l</w:t>
      </w:r>
      <w:r w:rsidRPr="00C77190">
        <w:rPr>
          <w:kern w:val="16"/>
        </w:rPr>
        <w:t xml:space="preserve">egislature added Minnesota Statutes, section 13.356, to the Data Practices Act, protecting certain telephone and email lists. Data maintained in your historic rulemaking files might be affected. Data classifications are based on the law at the time a request is made. In other words, data that was public at the time it was created can be changed retroactively to private data by a change to </w:t>
      </w:r>
      <w:r w:rsidRPr="00C77190">
        <w:rPr>
          <w:kern w:val="16"/>
        </w:rPr>
        <w:lastRenderedPageBreak/>
        <w:t>the Data Practices Act. Consult your data practices resource or legal counsel if you receive a data request related to rulemaking files.</w:t>
      </w:r>
    </w:p>
    <w:p w14:paraId="24E961F2" w14:textId="77777777" w:rsidR="00AA7141" w:rsidRPr="00C77190" w:rsidRDefault="00AA7141" w:rsidP="00AA7141">
      <w:pPr>
        <w:pStyle w:val="Heading2"/>
        <w:rPr>
          <w:kern w:val="16"/>
        </w:rPr>
      </w:pPr>
      <w:bookmarkStart w:id="36" w:name="_Toc123908436"/>
      <w:r w:rsidRPr="00C77190">
        <w:rPr>
          <w:kern w:val="16"/>
        </w:rPr>
        <w:t>1.9 Interagency Rules Committee</w:t>
      </w:r>
      <w:bookmarkEnd w:id="36"/>
    </w:p>
    <w:p w14:paraId="285F4733" w14:textId="77777777" w:rsidR="00AA7141" w:rsidRPr="00C77190" w:rsidRDefault="00AA7141" w:rsidP="00AA7141">
      <w:pPr>
        <w:pStyle w:val="BodyText"/>
        <w:rPr>
          <w:kern w:val="16"/>
        </w:rPr>
      </w:pPr>
      <w:r w:rsidRPr="00C77190">
        <w:rPr>
          <w:kern w:val="16"/>
        </w:rPr>
        <w:t xml:space="preserve">The IRC is an informal group of agency staff that meets quarterly to discuss common issues related to rulemaking. It was started in February 1995 by a cadre of state agency rules staff. Meeting attendance usually ranges between 15 to 30 </w:t>
      </w:r>
      <w:r>
        <w:rPr>
          <w:kern w:val="16"/>
        </w:rPr>
        <w:t>people</w:t>
      </w:r>
      <w:r w:rsidRPr="00C77190">
        <w:rPr>
          <w:kern w:val="16"/>
        </w:rPr>
        <w:t xml:space="preserve">. The committee communicates via a subscription service (see below). The IRC members provide the organization and expertise necessary for developing and updating this </w:t>
      </w:r>
      <w:r w:rsidRPr="00C77190">
        <w:rPr>
          <w:i/>
          <w:iCs/>
          <w:kern w:val="16"/>
        </w:rPr>
        <w:t>Minnesota Rulemaking Manual</w:t>
      </w:r>
      <w:r w:rsidRPr="00C77190">
        <w:rPr>
          <w:kern w:val="16"/>
        </w:rPr>
        <w:t>. The IRC also sponsors the annual rulemaking seminar and serves as an interagency forum to discuss proposed legislation governing rulemaking procedures.</w:t>
      </w:r>
    </w:p>
    <w:p w14:paraId="6A3B3189" w14:textId="77777777" w:rsidR="00AA7141" w:rsidRPr="00C77190" w:rsidRDefault="00AA7141" w:rsidP="00AA7141">
      <w:pPr>
        <w:pStyle w:val="Heading3"/>
        <w:rPr>
          <w:kern w:val="16"/>
        </w:rPr>
      </w:pPr>
      <w:r w:rsidRPr="00C77190">
        <w:rPr>
          <w:kern w:val="16"/>
        </w:rPr>
        <w:t xml:space="preserve">1.9.1 </w:t>
      </w:r>
      <w:bookmarkStart w:id="37" w:name="_Toc123908438"/>
      <w:r w:rsidRPr="00C77190">
        <w:rPr>
          <w:kern w:val="16"/>
        </w:rPr>
        <w:t>IRC Teams site</w:t>
      </w:r>
      <w:bookmarkEnd w:id="37"/>
    </w:p>
    <w:p w14:paraId="7BE855F1" w14:textId="3AC922C4" w:rsidR="00AA7141" w:rsidRPr="00C77190" w:rsidRDefault="00AA7141" w:rsidP="00AA7141">
      <w:pPr>
        <w:pStyle w:val="BodyText"/>
        <w:rPr>
          <w:kern w:val="16"/>
        </w:rPr>
      </w:pPr>
      <w:r w:rsidRPr="00C77190">
        <w:rPr>
          <w:kern w:val="16"/>
        </w:rPr>
        <w:t xml:space="preserve">The IRC has a Teams page called “DHS_DLI_IRC” where members can find resources and collaborate on rulemaking. </w:t>
      </w:r>
      <w:r w:rsidRPr="00BD4F0D">
        <w:rPr>
          <w:kern w:val="16"/>
        </w:rPr>
        <w:t xml:space="preserve">To be added to the Teams site, send an email to </w:t>
      </w:r>
      <w:r w:rsidRPr="001D7E7B">
        <w:rPr>
          <w:rFonts w:eastAsiaTheme="majorEastAsia"/>
          <w:kern w:val="16"/>
        </w:rPr>
        <w:t>Celeste</w:t>
      </w:r>
      <w:r>
        <w:rPr>
          <w:kern w:val="16"/>
        </w:rPr>
        <w:t xml:space="preserve"> Marin at </w:t>
      </w:r>
      <w:hyperlink r:id="rId45" w:history="1">
        <w:r w:rsidR="001D7E7B" w:rsidRPr="00471E15">
          <w:rPr>
            <w:rStyle w:val="Hyperlink"/>
            <w:kern w:val="16"/>
          </w:rPr>
          <w:t>celeste.marin@state.mn.us</w:t>
        </w:r>
      </w:hyperlink>
      <w:r w:rsidRPr="00BD4F0D">
        <w:rPr>
          <w:kern w:val="16"/>
        </w:rPr>
        <w:t>.</w:t>
      </w:r>
      <w:r w:rsidRPr="00C77190">
        <w:rPr>
          <w:kern w:val="16"/>
        </w:rPr>
        <w:t xml:space="preserve"> Members frequently post on the site and ask questions. Important files are also housed on the site, such as relevant legislative bills, IRC meeting minutes, important court or ALJ cases, and other rule-related information.</w:t>
      </w:r>
      <w:bookmarkStart w:id="38" w:name="_Toc123908439"/>
    </w:p>
    <w:p w14:paraId="1B360473" w14:textId="77777777" w:rsidR="00AA7141" w:rsidRPr="00C77190" w:rsidRDefault="00AA7141" w:rsidP="00AA7141">
      <w:pPr>
        <w:pStyle w:val="Heading2"/>
        <w:rPr>
          <w:kern w:val="16"/>
        </w:rPr>
      </w:pPr>
      <w:r w:rsidRPr="00C77190">
        <w:rPr>
          <w:kern w:val="16"/>
        </w:rPr>
        <w:t>1.10 Resources and the Rules Help Desk</w:t>
      </w:r>
      <w:bookmarkEnd w:id="38"/>
    </w:p>
    <w:p w14:paraId="02557A09" w14:textId="77777777" w:rsidR="00AA7141" w:rsidRDefault="00AA7141" w:rsidP="00AA7141">
      <w:pPr>
        <w:pStyle w:val="BodyText"/>
        <w:rPr>
          <w:kern w:val="16"/>
        </w:rPr>
      </w:pPr>
      <w:r w:rsidRPr="00C77190">
        <w:rPr>
          <w:kern w:val="16"/>
        </w:rPr>
        <w:t xml:space="preserve">There are several important resources to obtain help or information during the rulemaking process. </w:t>
      </w:r>
    </w:p>
    <w:p w14:paraId="24375EF9" w14:textId="77777777" w:rsidR="00AA7141" w:rsidRPr="00C77190" w:rsidRDefault="00AA7141" w:rsidP="00AA7141">
      <w:pPr>
        <w:pStyle w:val="BodyText"/>
        <w:numPr>
          <w:ilvl w:val="0"/>
          <w:numId w:val="30"/>
        </w:numPr>
        <w:rPr>
          <w:kern w:val="16"/>
        </w:rPr>
      </w:pPr>
      <w:r w:rsidRPr="00C77190">
        <w:rPr>
          <w:kern w:val="16"/>
        </w:rPr>
        <w:t>Questions about the status of filings that have been made or other OAH-related questions:</w:t>
      </w:r>
    </w:p>
    <w:p w14:paraId="7B4336AB" w14:textId="77777777" w:rsidR="00AA7141" w:rsidRDefault="00AA7141" w:rsidP="00AA7141">
      <w:pPr>
        <w:pStyle w:val="BodyText"/>
        <w:numPr>
          <w:ilvl w:val="1"/>
          <w:numId w:val="30"/>
        </w:numPr>
        <w:spacing w:before="120"/>
        <w:rPr>
          <w:kern w:val="16"/>
        </w:rPr>
      </w:pPr>
      <w:r w:rsidRPr="00C77190">
        <w:rPr>
          <w:kern w:val="16"/>
        </w:rPr>
        <w:t>Contact OAH Administrative Rule and Applications Specialist, William Moore, at William.T.Moore@state.mn.us or 651</w:t>
      </w:r>
      <w:r>
        <w:rPr>
          <w:kern w:val="16"/>
        </w:rPr>
        <w:t>-</w:t>
      </w:r>
      <w:r w:rsidRPr="00C77190">
        <w:rPr>
          <w:kern w:val="16"/>
        </w:rPr>
        <w:t>361-7893.</w:t>
      </w:r>
    </w:p>
    <w:p w14:paraId="5C954883" w14:textId="1F1262EB" w:rsidR="00AA7141" w:rsidRPr="00C77190" w:rsidRDefault="00512FF3" w:rsidP="00AA7141">
      <w:pPr>
        <w:pStyle w:val="BodyText"/>
        <w:numPr>
          <w:ilvl w:val="1"/>
          <w:numId w:val="30"/>
        </w:numPr>
        <w:spacing w:before="120"/>
        <w:rPr>
          <w:kern w:val="16"/>
        </w:rPr>
      </w:pPr>
      <w:hyperlink r:id="rId46" w:history="1">
        <w:r w:rsidR="001D7E7B">
          <w:rPr>
            <w:rStyle w:val="Hyperlink"/>
            <w:rFonts w:eastAsiaTheme="majorEastAsia"/>
            <w:kern w:val="16"/>
          </w:rPr>
          <w:t>Administrative Law Archives (https://mn.gov/oah/lawyers-and-litigants/administrative-law/opinion-archive.jsp)</w:t>
        </w:r>
      </w:hyperlink>
      <w:r w:rsidR="00AA7141">
        <w:rPr>
          <w:kern w:val="16"/>
        </w:rPr>
        <w:t xml:space="preserve"> – Location of Judges’ Orders on approvals and disapprovals of rules. These findings are also summarized at IRC meetings in the “Hearing and Non-Hearing Report.”</w:t>
      </w:r>
    </w:p>
    <w:p w14:paraId="660BB64F" w14:textId="77777777" w:rsidR="00AA7141" w:rsidRPr="00C77190" w:rsidRDefault="00AA7141" w:rsidP="00AA7141">
      <w:pPr>
        <w:pStyle w:val="BodyText"/>
        <w:numPr>
          <w:ilvl w:val="0"/>
          <w:numId w:val="30"/>
        </w:numPr>
        <w:rPr>
          <w:kern w:val="16"/>
        </w:rPr>
      </w:pPr>
      <w:r w:rsidRPr="00C77190">
        <w:rPr>
          <w:kern w:val="16"/>
        </w:rPr>
        <w:t>Legal advice:</w:t>
      </w:r>
    </w:p>
    <w:p w14:paraId="6A5DE40A" w14:textId="77777777" w:rsidR="00AA7141" w:rsidRPr="00C77190" w:rsidRDefault="00AA7141" w:rsidP="00AA7141">
      <w:pPr>
        <w:pStyle w:val="BodyText"/>
        <w:numPr>
          <w:ilvl w:val="1"/>
          <w:numId w:val="30"/>
        </w:numPr>
        <w:spacing w:before="120"/>
        <w:rPr>
          <w:kern w:val="16"/>
        </w:rPr>
      </w:pPr>
      <w:r w:rsidRPr="00C77190">
        <w:rPr>
          <w:kern w:val="16"/>
        </w:rPr>
        <w:t xml:space="preserve">Seek the counsel of your agency’s in-house legal staff or your Assistant Attorney General. </w:t>
      </w:r>
    </w:p>
    <w:p w14:paraId="2F0250B1" w14:textId="77777777" w:rsidR="00AA7141" w:rsidRPr="00C77190" w:rsidRDefault="00AA7141" w:rsidP="00AA7141">
      <w:pPr>
        <w:pStyle w:val="BodyText"/>
        <w:numPr>
          <w:ilvl w:val="0"/>
          <w:numId w:val="30"/>
        </w:numPr>
        <w:rPr>
          <w:kern w:val="16"/>
        </w:rPr>
      </w:pPr>
      <w:r w:rsidRPr="00C77190">
        <w:rPr>
          <w:kern w:val="16"/>
        </w:rPr>
        <w:t xml:space="preserve">Questions about APA - The </w:t>
      </w:r>
      <w:r>
        <w:rPr>
          <w:kern w:val="16"/>
        </w:rPr>
        <w:t>IRC</w:t>
      </w:r>
      <w:r w:rsidRPr="00C77190">
        <w:rPr>
          <w:kern w:val="16"/>
        </w:rPr>
        <w:t xml:space="preserve"> has established a “help desk” function for assistance with rulemaking. Contact:</w:t>
      </w:r>
    </w:p>
    <w:p w14:paraId="06DE4FD9" w14:textId="77777777" w:rsidR="00AA7141" w:rsidRPr="00C77190" w:rsidRDefault="00AA7141" w:rsidP="00AA7141">
      <w:pPr>
        <w:pStyle w:val="BodyText"/>
        <w:numPr>
          <w:ilvl w:val="1"/>
          <w:numId w:val="30"/>
        </w:numPr>
        <w:spacing w:before="120"/>
        <w:rPr>
          <w:kern w:val="16"/>
        </w:rPr>
      </w:pPr>
      <w:r>
        <w:rPr>
          <w:kern w:val="16"/>
        </w:rPr>
        <w:t>Andi</w:t>
      </w:r>
      <w:r w:rsidRPr="00C77190">
        <w:rPr>
          <w:kern w:val="16"/>
        </w:rPr>
        <w:t xml:space="preserve"> Barker, Department of Transportation: </w:t>
      </w:r>
      <w:hyperlink r:id="rId47">
        <w:r w:rsidRPr="00C77190">
          <w:rPr>
            <w:rStyle w:val="Hyperlink"/>
            <w:rFonts w:eastAsiaTheme="majorEastAsia"/>
            <w:kern w:val="16"/>
          </w:rPr>
          <w:t>andrea.barker@state.mn.us</w:t>
        </w:r>
      </w:hyperlink>
      <w:r w:rsidRPr="00C77190">
        <w:rPr>
          <w:kern w:val="16"/>
        </w:rPr>
        <w:t xml:space="preserve"> or via Teams chat</w:t>
      </w:r>
    </w:p>
    <w:p w14:paraId="19A9FE7E" w14:textId="77777777" w:rsidR="00AA7141" w:rsidRPr="00C77190" w:rsidRDefault="00AA7141" w:rsidP="00AA7141">
      <w:pPr>
        <w:pStyle w:val="BodyText"/>
        <w:numPr>
          <w:ilvl w:val="1"/>
          <w:numId w:val="30"/>
        </w:numPr>
        <w:spacing w:before="120"/>
        <w:rPr>
          <w:kern w:val="16"/>
        </w:rPr>
      </w:pPr>
      <w:r>
        <w:rPr>
          <w:kern w:val="16"/>
        </w:rPr>
        <w:lastRenderedPageBreak/>
        <w:t xml:space="preserve">Ian Lewenstein, Department of Corrections: </w:t>
      </w:r>
      <w:hyperlink r:id="rId48" w:history="1">
        <w:r w:rsidRPr="00CB6339">
          <w:rPr>
            <w:rStyle w:val="Hyperlink"/>
            <w:rFonts w:eastAsiaTheme="majorEastAsia"/>
            <w:kern w:val="16"/>
          </w:rPr>
          <w:t>ian.lewenstein@state.mn.us</w:t>
        </w:r>
      </w:hyperlink>
      <w:r>
        <w:rPr>
          <w:kern w:val="16"/>
        </w:rPr>
        <w:t xml:space="preserve"> or via Teams chat</w:t>
      </w:r>
    </w:p>
    <w:p w14:paraId="2994E644" w14:textId="77777777" w:rsidR="00AA7141" w:rsidRPr="00C77190" w:rsidRDefault="00AA7141" w:rsidP="00AA7141">
      <w:pPr>
        <w:pStyle w:val="Heading2"/>
        <w:rPr>
          <w:kern w:val="16"/>
        </w:rPr>
      </w:pPr>
      <w:bookmarkStart w:id="39" w:name="_Toc123908440"/>
      <w:r w:rsidRPr="00C77190">
        <w:rPr>
          <w:kern w:val="16"/>
        </w:rPr>
        <w:t>1.11 Training for Agency Rulemaking Staff</w:t>
      </w:r>
      <w:bookmarkEnd w:id="39"/>
    </w:p>
    <w:p w14:paraId="505284E9" w14:textId="0434C366" w:rsidR="00AA7141" w:rsidRPr="00C77190" w:rsidRDefault="00AA7141" w:rsidP="00AA7141">
      <w:pPr>
        <w:pStyle w:val="BodyText"/>
        <w:rPr>
          <w:kern w:val="16"/>
        </w:rPr>
      </w:pPr>
      <w:r w:rsidRPr="00C77190">
        <w:rPr>
          <w:kern w:val="16"/>
        </w:rPr>
        <w:t xml:space="preserve">The Interagency Rulemaking Committee provides annual training to </w:t>
      </w:r>
      <w:r>
        <w:rPr>
          <w:kern w:val="16"/>
        </w:rPr>
        <w:t>s</w:t>
      </w:r>
      <w:r w:rsidRPr="00C77190">
        <w:rPr>
          <w:kern w:val="16"/>
        </w:rPr>
        <w:t>tate employees involved in rulemaking.</w:t>
      </w:r>
      <w:r w:rsidRPr="00C77190">
        <w:rPr>
          <w:rStyle w:val="FootnoteReference"/>
          <w:kern w:val="16"/>
        </w:rPr>
        <w:footnoteReference w:id="24"/>
      </w:r>
      <w:r w:rsidRPr="00C77190">
        <w:rPr>
          <w:kern w:val="16"/>
        </w:rPr>
        <w:t xml:space="preserve"> Continuing legal education credits may be available for some sessions at the seminar. Previous seminar materials are available on the </w:t>
      </w:r>
      <w:hyperlink r:id="rId49" w:history="1">
        <w:r w:rsidR="001D7E7B">
          <w:rPr>
            <w:rStyle w:val="Hyperlink"/>
            <w:rFonts w:eastAsiaTheme="majorEastAsia"/>
            <w:kern w:val="16"/>
          </w:rPr>
          <w:t>Minnesota Rulemaking Manual and Seminar webpage (https://www.health.state.mn.us/data/rules/manual/index.html)</w:t>
        </w:r>
      </w:hyperlink>
      <w:r w:rsidRPr="00C77190">
        <w:rPr>
          <w:kern w:val="16"/>
        </w:rPr>
        <w:t>.</w:t>
      </w:r>
    </w:p>
    <w:p w14:paraId="08C1C00E" w14:textId="77777777" w:rsidR="00AA7141" w:rsidRPr="00C77190" w:rsidRDefault="00AA7141" w:rsidP="00AA7141">
      <w:pPr>
        <w:pStyle w:val="Heading2"/>
        <w:rPr>
          <w:kern w:val="16"/>
        </w:rPr>
      </w:pPr>
      <w:bookmarkStart w:id="40" w:name="_Toc123908441"/>
      <w:r w:rsidRPr="00C77190">
        <w:rPr>
          <w:kern w:val="16"/>
        </w:rPr>
        <w:t>1.12 Information on the Cost of Rulemaking</w:t>
      </w:r>
      <w:bookmarkEnd w:id="40"/>
    </w:p>
    <w:p w14:paraId="0BF191A9" w14:textId="77777777" w:rsidR="00AA7141" w:rsidRPr="00C77190" w:rsidRDefault="00AA7141" w:rsidP="00AA7141">
      <w:pPr>
        <w:pStyle w:val="BodyText"/>
        <w:rPr>
          <w:kern w:val="16"/>
        </w:rPr>
      </w:pPr>
      <w:r w:rsidRPr="00C77190">
        <w:rPr>
          <w:kern w:val="16"/>
        </w:rPr>
        <w:t xml:space="preserve">Refer to </w:t>
      </w:r>
      <w:r w:rsidRPr="00C77190">
        <w:rPr>
          <w:b/>
          <w:bCs/>
          <w:kern w:val="16"/>
        </w:rPr>
        <w:t>COST-INF</w:t>
      </w:r>
      <w:r w:rsidRPr="00C77190">
        <w:rPr>
          <w:kern w:val="16"/>
        </w:rPr>
        <w:t xml:space="preserve"> in the appendix for information on approximate costs for rulemaking. The document reflects the collective experience of many agencies’ developing and adopting rules, starting with the Department of Human Services. The information has been updated and revised over time with notable contributions from the Pollution Control Agency, the Department of Health, and most recently, OAH. This cost information might not be right on point for agencies whose rules are not as controversial or do not have the same lengthy history as those of the contributing agencies. However, it is the best cost information available and provides a valuable starting point in estimating rulemaking costs. </w:t>
      </w:r>
    </w:p>
    <w:p w14:paraId="4D6DB931" w14:textId="77777777" w:rsidR="00AA7141" w:rsidRPr="00C77190" w:rsidRDefault="00AA7141" w:rsidP="00AA7141">
      <w:pPr>
        <w:pStyle w:val="BodyText"/>
        <w:rPr>
          <w:kern w:val="16"/>
        </w:rPr>
      </w:pPr>
      <w:r w:rsidRPr="00C77190">
        <w:rPr>
          <w:b/>
          <w:kern w:val="16"/>
        </w:rPr>
        <w:t>Note</w:t>
      </w:r>
      <w:r w:rsidRPr="00C77190">
        <w:rPr>
          <w:kern w:val="16"/>
        </w:rPr>
        <w:t xml:space="preserve">: OAH charges are one category of rulemaking costs. If your agency is unaware that OAH bills agencies directly for all time ALJs and other professionals spend working on your agency’s rules, you </w:t>
      </w:r>
      <w:r>
        <w:rPr>
          <w:kern w:val="16"/>
        </w:rPr>
        <w:t>should</w:t>
      </w:r>
      <w:r w:rsidRPr="00C77190">
        <w:rPr>
          <w:kern w:val="16"/>
        </w:rPr>
        <w:t xml:space="preserve"> inform them. This includes reviews before publishing notices and approving additional notice plans, in addition to ALJ time spent preparing for and conducting a hearing. OAH review is mandatory, so these are necessary costs of rulemaking for agencies.</w:t>
      </w:r>
    </w:p>
    <w:p w14:paraId="05665A81" w14:textId="77777777" w:rsidR="00AA7141" w:rsidRPr="00C77190" w:rsidRDefault="00AA7141" w:rsidP="00AA7141">
      <w:pPr>
        <w:pStyle w:val="Heading2"/>
        <w:rPr>
          <w:kern w:val="16"/>
        </w:rPr>
      </w:pPr>
      <w:bookmarkStart w:id="41" w:name="_Toc123908442"/>
      <w:r w:rsidRPr="00C77190">
        <w:rPr>
          <w:kern w:val="16"/>
        </w:rPr>
        <w:t>1.13 Comments and Suggestions for the Manual</w:t>
      </w:r>
      <w:bookmarkEnd w:id="41"/>
    </w:p>
    <w:p w14:paraId="42AAC833" w14:textId="77777777" w:rsidR="00AA7141" w:rsidRPr="00C77190" w:rsidRDefault="00AA7141" w:rsidP="00AA7141">
      <w:pPr>
        <w:pStyle w:val="BodyText"/>
        <w:rPr>
          <w:kern w:val="16"/>
        </w:rPr>
      </w:pPr>
      <w:r w:rsidRPr="00C77190">
        <w:rPr>
          <w:kern w:val="16"/>
        </w:rPr>
        <w:t>Comments or suggestions for improvements to the Manual may be submitted via the IRC Teams Channel Chat or to any of the following editors:</w:t>
      </w:r>
    </w:p>
    <w:p w14:paraId="2CCF355B" w14:textId="77777777" w:rsidR="00AA7141" w:rsidRPr="00C77190" w:rsidRDefault="00AA7141" w:rsidP="00AA7141">
      <w:pPr>
        <w:pStyle w:val="BodyText"/>
        <w:numPr>
          <w:ilvl w:val="0"/>
          <w:numId w:val="32"/>
        </w:numPr>
        <w:spacing w:before="120"/>
        <w:rPr>
          <w:kern w:val="16"/>
        </w:rPr>
      </w:pPr>
      <w:r>
        <w:rPr>
          <w:kern w:val="16"/>
        </w:rPr>
        <w:t>Andi</w:t>
      </w:r>
      <w:r w:rsidRPr="00C77190">
        <w:rPr>
          <w:kern w:val="16"/>
        </w:rPr>
        <w:t xml:space="preserve"> Barker, DOT, </w:t>
      </w:r>
      <w:hyperlink r:id="rId50" w:history="1">
        <w:r w:rsidRPr="00C77190">
          <w:rPr>
            <w:rStyle w:val="Hyperlink"/>
            <w:rFonts w:eastAsiaTheme="majorEastAsia"/>
            <w:kern w:val="16"/>
          </w:rPr>
          <w:t>andrea.barker@state.mn.us</w:t>
        </w:r>
      </w:hyperlink>
    </w:p>
    <w:p w14:paraId="10F1CCD0" w14:textId="031647B1" w:rsidR="00AA7141" w:rsidRPr="00AA7141" w:rsidRDefault="00AA7141" w:rsidP="00DF2379">
      <w:pPr>
        <w:pStyle w:val="BodyText"/>
        <w:numPr>
          <w:ilvl w:val="0"/>
          <w:numId w:val="32"/>
        </w:numPr>
        <w:spacing w:before="120"/>
      </w:pPr>
      <w:r w:rsidRPr="00AA7141">
        <w:rPr>
          <w:kern w:val="16"/>
        </w:rPr>
        <w:t xml:space="preserve">Ian Lewenstein, BMS, </w:t>
      </w:r>
      <w:hyperlink r:id="rId51" w:history="1">
        <w:r w:rsidRPr="00AA7141">
          <w:rPr>
            <w:rStyle w:val="Hyperlink"/>
            <w:rFonts w:eastAsiaTheme="majorEastAsia"/>
            <w:kern w:val="16"/>
          </w:rPr>
          <w:t>ian.lewenstein@state.mn.us</w:t>
        </w:r>
      </w:hyperlink>
      <w:r w:rsidRPr="00AA7141">
        <w:rPr>
          <w:kern w:val="16"/>
        </w:rPr>
        <w:t xml:space="preserve"> </w:t>
      </w:r>
    </w:p>
    <w:p w14:paraId="3C3D9D7E" w14:textId="77777777" w:rsidR="00E7358D" w:rsidRPr="00AA7141" w:rsidRDefault="00E7358D" w:rsidP="00AA7141"/>
    <w:sectPr w:rsidR="00E7358D" w:rsidRPr="00AA7141" w:rsidSect="00D65587">
      <w:footerReference w:type="default" r:id="rId52"/>
      <w:footerReference w:type="first" r:id="rId53"/>
      <w:type w:val="continuous"/>
      <w:pgSz w:w="12240" w:h="15840" w:code="1"/>
      <w:pgMar w:top="1080" w:right="1080" w:bottom="108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A3640" w14:textId="77777777" w:rsidR="00677869" w:rsidRDefault="00677869" w:rsidP="00D91FF4">
      <w:r>
        <w:separator/>
      </w:r>
    </w:p>
  </w:endnote>
  <w:endnote w:type="continuationSeparator" w:id="0">
    <w:p w14:paraId="17E514C2" w14:textId="77777777" w:rsidR="00677869" w:rsidRDefault="0067786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39ED" w14:textId="77777777" w:rsidR="003C23E7" w:rsidRDefault="003C23E7" w:rsidP="001037AE">
    <w:pPr>
      <w:pStyle w:val="Footer"/>
      <w:pBdr>
        <w:top w:val="single" w:sz="4" w:space="1" w:color="auto"/>
      </w:pBdr>
      <w:tabs>
        <w:tab w:val="clear" w:pos="10080"/>
        <w:tab w:val="right" w:pos="14400"/>
      </w:tabs>
    </w:pPr>
    <w:r>
      <w:t>Minnesota Rulemaking Manual</w:t>
    </w:r>
    <w:r>
      <w:tab/>
    </w:r>
    <w:r>
      <w:fldChar w:fldCharType="begin"/>
    </w:r>
    <w:r>
      <w:instrText xml:space="preserve"> PAGE   \* MERGEFORMAT </w:instrText>
    </w:r>
    <w:r>
      <w:fldChar w:fldCharType="separate"/>
    </w:r>
    <w:r w:rsidRPr="008D41AC">
      <w:rPr>
        <w:b/>
        <w:bCs/>
        <w:noProof/>
      </w:rPr>
      <w:t>10</w:t>
    </w:r>
    <w:r>
      <w:rPr>
        <w:b/>
        <w:bCs/>
        <w:noProof/>
      </w:rPr>
      <w:fldChar w:fldCharType="end"/>
    </w:r>
    <w:r>
      <w:rPr>
        <w:b/>
        <w:bCs/>
      </w:rPr>
      <w:t xml:space="preserve"> </w:t>
    </w:r>
    <w:r>
      <w:t>|</w:t>
    </w:r>
    <w:r>
      <w:rPr>
        <w:b/>
        <w:bCs/>
      </w:rPr>
      <w:t xml:space="preserve"> </w:t>
    </w:r>
    <w:r w:rsidRPr="00B26B24">
      <w:rPr>
        <w:spacing w:val="3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052E" w14:textId="0B7341C1" w:rsidR="007857F7" w:rsidRPr="00981BAC" w:rsidRDefault="00981BAC" w:rsidP="00981BAC">
    <w:pPr>
      <w:pStyle w:val="Footer"/>
      <w:pBdr>
        <w:top w:val="single" w:sz="4" w:space="1" w:color="auto"/>
      </w:pBdr>
      <w:tabs>
        <w:tab w:val="clear" w:pos="10080"/>
        <w:tab w:val="right" w:pos="14400"/>
      </w:tabs>
    </w:pPr>
    <w:r>
      <w:t>Minnesota Rulemaking Manual – Chapter 1</w:t>
    </w:r>
    <w:r>
      <w:tab/>
    </w:r>
    <w:r>
      <w:fldChar w:fldCharType="begin"/>
    </w:r>
    <w:r>
      <w:instrText xml:space="preserve"> PAGE   \* MERGEFORMAT </w:instrText>
    </w:r>
    <w:r>
      <w:fldChar w:fldCharType="separate"/>
    </w:r>
    <w:r>
      <w:t>25</w:t>
    </w:r>
    <w:r>
      <w:rPr>
        <w:b/>
        <w:bCs/>
        <w:noProof/>
      </w:rPr>
      <w:fldChar w:fldCharType="end"/>
    </w:r>
    <w:r>
      <w:rPr>
        <w:b/>
        <w:bCs/>
      </w:rPr>
      <w:t xml:space="preserve"> </w:t>
    </w:r>
    <w:r>
      <w:t>|</w:t>
    </w:r>
    <w:r>
      <w:rPr>
        <w:b/>
        <w:bCs/>
      </w:rPr>
      <w:t xml:space="preserve"> </w:t>
    </w:r>
    <w:r w:rsidRPr="00B26B24">
      <w:rPr>
        <w:spacing w:val="30"/>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8AA0"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D7651" w14:textId="77777777" w:rsidR="00677869" w:rsidRDefault="00677869" w:rsidP="00D91FF4">
      <w:r>
        <w:separator/>
      </w:r>
    </w:p>
  </w:footnote>
  <w:footnote w:type="continuationSeparator" w:id="0">
    <w:p w14:paraId="0254AE59" w14:textId="77777777" w:rsidR="00677869" w:rsidRDefault="00677869" w:rsidP="00D91FF4">
      <w:r>
        <w:continuationSeparator/>
      </w:r>
    </w:p>
  </w:footnote>
  <w:footnote w:id="1">
    <w:p w14:paraId="274B13FE" w14:textId="77777777" w:rsidR="00AA7141" w:rsidRDefault="00AA7141" w:rsidP="00AA7141">
      <w:pPr>
        <w:pStyle w:val="FootnoteText"/>
      </w:pPr>
      <w:r>
        <w:rPr>
          <w:rStyle w:val="FootnoteReference"/>
        </w:rPr>
        <w:footnoteRef/>
      </w:r>
      <w:r>
        <w:t xml:space="preserve"> Minnesota Statutes, chapter 14.  </w:t>
      </w:r>
      <w:r w:rsidRPr="00351597">
        <w:rPr>
          <w:i/>
        </w:rPr>
        <w:t>See also</w:t>
      </w:r>
      <w:r>
        <w:t xml:space="preserve"> Minnesota Rules, chapter 1400 (Office of Administrative Hearings’ rules implementing the APA).</w:t>
      </w:r>
    </w:p>
  </w:footnote>
  <w:footnote w:id="2">
    <w:p w14:paraId="064AB53E" w14:textId="2B9310D9" w:rsidR="00AA7141" w:rsidRDefault="00AA7141" w:rsidP="00AA7141">
      <w:pPr>
        <w:pStyle w:val="FootnoteText"/>
      </w:pPr>
      <w:r>
        <w:rPr>
          <w:rStyle w:val="FootnoteReference"/>
        </w:rPr>
        <w:footnoteRef/>
      </w:r>
      <w:r>
        <w:t xml:space="preserve"> </w:t>
      </w:r>
      <w:hyperlink r:id="rId1" w:history="1">
        <w:r w:rsidR="001D7E7B">
          <w:rPr>
            <w:rStyle w:val="Hyperlink"/>
            <w:rFonts w:eastAsiaTheme="majorEastAsia"/>
          </w:rPr>
          <w:t>Executive Order 19-29 (PDF)</w:t>
        </w:r>
      </w:hyperlink>
      <w:r>
        <w:t>.</w:t>
      </w:r>
    </w:p>
  </w:footnote>
  <w:footnote w:id="3">
    <w:p w14:paraId="7B17C750" w14:textId="77777777" w:rsidR="00AA7141" w:rsidRDefault="00AA7141" w:rsidP="00AA7141">
      <w:pPr>
        <w:pStyle w:val="FootnoteText"/>
      </w:pPr>
      <w:r>
        <w:rPr>
          <w:rStyle w:val="FootnoteReference"/>
        </w:rPr>
        <w:footnoteRef/>
      </w:r>
      <w:r>
        <w:t xml:space="preserve"> The Executive Order is in addition to various agencies’ statutes that require the agency to use plain language. Minn. Stat. § 14.07, subd. 3(3), requires the Revisor’s Office to use plain language when drafting rules and to avoid technical language.”</w:t>
      </w:r>
    </w:p>
  </w:footnote>
  <w:footnote w:id="4">
    <w:p w14:paraId="5A464651" w14:textId="77777777" w:rsidR="00AA7141" w:rsidRDefault="00AA7141" w:rsidP="00AA7141">
      <w:pPr>
        <w:pStyle w:val="FootnoteText"/>
      </w:pPr>
      <w:r>
        <w:rPr>
          <w:rStyle w:val="FootnoteReference"/>
        </w:rPr>
        <w:footnoteRef/>
      </w:r>
      <w:r>
        <w:t xml:space="preserve"> Minn. Stat. </w:t>
      </w:r>
      <w:r>
        <w:rPr>
          <w:rFonts w:cs="Calibri"/>
        </w:rPr>
        <w:t>§</w:t>
      </w:r>
      <w:r>
        <w:t xml:space="preserve"> 14.02, subd. 4.</w:t>
      </w:r>
    </w:p>
  </w:footnote>
  <w:footnote w:id="5">
    <w:p w14:paraId="55046DD0" w14:textId="77777777" w:rsidR="00AA7141" w:rsidRDefault="00AA7141" w:rsidP="00AA7141">
      <w:pPr>
        <w:pStyle w:val="FootnoteText"/>
      </w:pPr>
      <w:r>
        <w:rPr>
          <w:rStyle w:val="FootnoteReference"/>
        </w:rPr>
        <w:footnoteRef/>
      </w:r>
      <w:r>
        <w:t xml:space="preserve"> Minn. Stat. § 14.03, subd. 3(a)(1).</w:t>
      </w:r>
    </w:p>
  </w:footnote>
  <w:footnote w:id="6">
    <w:p w14:paraId="25F59CFB" w14:textId="77777777" w:rsidR="00AA7141" w:rsidRPr="00253A2C" w:rsidRDefault="00AA7141" w:rsidP="00AA7141">
      <w:pPr>
        <w:pStyle w:val="FootnoteText"/>
      </w:pPr>
      <w:r>
        <w:rPr>
          <w:rStyle w:val="FootnoteReference"/>
        </w:rPr>
        <w:footnoteRef/>
      </w:r>
      <w:r>
        <w:t xml:space="preserve"> </w:t>
      </w:r>
      <w:r>
        <w:rPr>
          <w:i/>
          <w:iCs/>
        </w:rPr>
        <w:t>See also</w:t>
      </w:r>
      <w:r>
        <w:t xml:space="preserve"> Minn. Stat. § 14.07, subd. 3(1): the revisor must “</w:t>
      </w:r>
      <w:r w:rsidRPr="00220B25">
        <w:rPr>
          <w:lang w:val="en"/>
        </w:rPr>
        <w:t>minimize duplication of statutory language</w:t>
      </w:r>
      <w:r>
        <w:rPr>
          <w:lang w:val="en"/>
        </w:rPr>
        <w:t>.”</w:t>
      </w:r>
    </w:p>
  </w:footnote>
  <w:footnote w:id="7">
    <w:p w14:paraId="5A94098C" w14:textId="77777777" w:rsidR="00AA7141" w:rsidRPr="009A4F92" w:rsidRDefault="00AA7141" w:rsidP="00AA7141">
      <w:pPr>
        <w:pStyle w:val="FootnoteText"/>
      </w:pPr>
      <w:r>
        <w:rPr>
          <w:rStyle w:val="FootnoteReference"/>
        </w:rPr>
        <w:footnoteRef/>
      </w:r>
      <w:r>
        <w:t xml:space="preserve"> </w:t>
      </w:r>
      <w:r w:rsidRPr="00382259">
        <w:t>OAH</w:t>
      </w:r>
      <w:r>
        <w:t xml:space="preserve"> Docket Number</w:t>
      </w:r>
      <w:r w:rsidRPr="00382259">
        <w:t xml:space="preserve"> 7-2700-13138-1</w:t>
      </w:r>
      <w:r>
        <w:t xml:space="preserve">. </w:t>
      </w:r>
      <w:r>
        <w:rPr>
          <w:i/>
          <w:iCs/>
        </w:rPr>
        <w:t>See also</w:t>
      </w:r>
      <w:r>
        <w:t xml:space="preserve"> </w:t>
      </w:r>
      <w:r w:rsidRPr="009A4F92">
        <w:t>RD2951; OAH</w:t>
      </w:r>
      <w:r>
        <w:t xml:space="preserve"> Docket Number</w:t>
      </w:r>
      <w:r w:rsidRPr="009A4F92">
        <w:t xml:space="preserve"> 10-2700-12042-1</w:t>
      </w:r>
      <w:r>
        <w:t>.</w:t>
      </w:r>
    </w:p>
  </w:footnote>
  <w:footnote w:id="8">
    <w:p w14:paraId="7C3F1AD2" w14:textId="77777777" w:rsidR="00AA7141" w:rsidRDefault="00AA7141" w:rsidP="00AA7141">
      <w:pPr>
        <w:pStyle w:val="FootnoteText"/>
      </w:pPr>
      <w:r w:rsidRPr="25EC9CD5">
        <w:rPr>
          <w:rStyle w:val="FootnoteReference"/>
        </w:rPr>
        <w:footnoteRef/>
      </w:r>
      <w:r>
        <w:t xml:space="preserve"> Minn. R. 1721.0490, subp. 2.</w:t>
      </w:r>
    </w:p>
  </w:footnote>
  <w:footnote w:id="9">
    <w:p w14:paraId="1BF4D7C3" w14:textId="77777777" w:rsidR="00AA7141" w:rsidRPr="008B6203" w:rsidRDefault="00AA7141" w:rsidP="00AA7141">
      <w:pPr>
        <w:pStyle w:val="FootnoteText"/>
      </w:pPr>
      <w:r>
        <w:rPr>
          <w:rStyle w:val="FootnoteReference"/>
        </w:rPr>
        <w:footnoteRef/>
      </w:r>
      <w:r>
        <w:t xml:space="preserve"> </w:t>
      </w:r>
      <w:r>
        <w:rPr>
          <w:i/>
          <w:iCs/>
        </w:rPr>
        <w:t>See</w:t>
      </w:r>
      <w:r>
        <w:t xml:space="preserve"> Minn. Stat. § 14.03.</w:t>
      </w:r>
    </w:p>
  </w:footnote>
  <w:footnote w:id="10">
    <w:p w14:paraId="1B0615DB" w14:textId="77777777" w:rsidR="00AA7141" w:rsidRDefault="00AA7141" w:rsidP="00AA7141">
      <w:pPr>
        <w:pStyle w:val="FootnoteText"/>
      </w:pPr>
      <w:r>
        <w:rPr>
          <w:rStyle w:val="FootnoteReference"/>
        </w:rPr>
        <w:footnoteRef/>
      </w:r>
      <w:r>
        <w:t xml:space="preserve"> Minn. Stat. </w:t>
      </w:r>
      <w:r>
        <w:rPr>
          <w:rFonts w:cs="Calibri"/>
        </w:rPr>
        <w:t>§</w:t>
      </w:r>
      <w:r>
        <w:t xml:space="preserve"> 14.06(a).</w:t>
      </w:r>
    </w:p>
  </w:footnote>
  <w:footnote w:id="11">
    <w:p w14:paraId="53812702" w14:textId="77777777" w:rsidR="00AA7141" w:rsidRPr="00B138D7" w:rsidRDefault="00AA7141" w:rsidP="00AA7141">
      <w:pPr>
        <w:pStyle w:val="FootnoteText"/>
      </w:pPr>
      <w:r>
        <w:rPr>
          <w:rStyle w:val="FootnoteReference"/>
        </w:rPr>
        <w:footnoteRef/>
      </w:r>
      <w:r>
        <w:t xml:space="preserve"> </w:t>
      </w:r>
      <w:r>
        <w:rPr>
          <w:i/>
          <w:iCs/>
        </w:rPr>
        <w:t>See</w:t>
      </w:r>
      <w:r>
        <w:t xml:space="preserve"> Minn. Stat. </w:t>
      </w:r>
      <w:proofErr w:type="spellStart"/>
      <w:r>
        <w:t>ch.</w:t>
      </w:r>
      <w:proofErr w:type="spellEnd"/>
      <w:r>
        <w:t xml:space="preserve"> 645.</w:t>
      </w:r>
    </w:p>
  </w:footnote>
  <w:footnote w:id="12">
    <w:p w14:paraId="1CC25743" w14:textId="77777777" w:rsidR="00AA7141" w:rsidRDefault="00AA7141" w:rsidP="00AA7141">
      <w:pPr>
        <w:pStyle w:val="FootnoteText"/>
      </w:pPr>
      <w:r w:rsidRPr="3EFCF1FD">
        <w:rPr>
          <w:rStyle w:val="FootnoteReference"/>
        </w:rPr>
        <w:footnoteRef/>
      </w:r>
      <w:r>
        <w:rPr>
          <w:i/>
        </w:rPr>
        <w:t xml:space="preserve"> </w:t>
      </w:r>
      <w:r w:rsidRPr="0001644B">
        <w:rPr>
          <w:i/>
        </w:rPr>
        <w:t>See</w:t>
      </w:r>
      <w:r>
        <w:t xml:space="preserve"> Minn. R. 1400.2030, subp. 1.</w:t>
      </w:r>
    </w:p>
  </w:footnote>
  <w:footnote w:id="13">
    <w:p w14:paraId="669A6F84" w14:textId="77777777" w:rsidR="00AA7141" w:rsidRDefault="00AA7141" w:rsidP="00AA7141">
      <w:pPr>
        <w:pStyle w:val="FootnoteText"/>
      </w:pPr>
      <w:r>
        <w:rPr>
          <w:rStyle w:val="FootnoteReference"/>
        </w:rPr>
        <w:footnoteRef/>
      </w:r>
      <w:r>
        <w:t xml:space="preserve"> Minn. R. 1400.2030, subp. 1.</w:t>
      </w:r>
    </w:p>
  </w:footnote>
  <w:footnote w:id="14">
    <w:p w14:paraId="4DB51469" w14:textId="77777777" w:rsidR="00AA7141" w:rsidRDefault="00AA7141" w:rsidP="00AA7141">
      <w:pPr>
        <w:pStyle w:val="FootnoteText"/>
      </w:pPr>
      <w:r w:rsidRPr="3EFCF1FD">
        <w:rPr>
          <w:rStyle w:val="FootnoteReference"/>
        </w:rPr>
        <w:footnoteRef/>
      </w:r>
      <w:r>
        <w:t xml:space="preserve"> Minn. R. 1400.2030, subp. 1.</w:t>
      </w:r>
    </w:p>
  </w:footnote>
  <w:footnote w:id="15">
    <w:p w14:paraId="36DCEAD8" w14:textId="77777777" w:rsidR="00AA7141" w:rsidRPr="004F6A63" w:rsidRDefault="00AA7141" w:rsidP="00AA7141">
      <w:pPr>
        <w:pStyle w:val="FootnoteText"/>
      </w:pPr>
      <w:r>
        <w:rPr>
          <w:rStyle w:val="FootnoteReference"/>
        </w:rPr>
        <w:footnoteRef/>
      </w:r>
      <w:r>
        <w:t xml:space="preserve"> </w:t>
      </w:r>
      <w:r>
        <w:rPr>
          <w:i/>
          <w:iCs/>
        </w:rPr>
        <w:t>See</w:t>
      </w:r>
      <w:r>
        <w:t xml:space="preserve"> Minn. Stat. </w:t>
      </w:r>
      <w:r>
        <w:rPr>
          <w:rFonts w:cs="Calibri"/>
        </w:rPr>
        <w:t>§</w:t>
      </w:r>
      <w:r>
        <w:t xml:space="preserve"> 645.44, subd. 5 (listing state holidays).</w:t>
      </w:r>
    </w:p>
  </w:footnote>
  <w:footnote w:id="16">
    <w:p w14:paraId="542A2D1F" w14:textId="77777777" w:rsidR="00AA7141" w:rsidRDefault="00AA7141" w:rsidP="00AA7141">
      <w:pPr>
        <w:pStyle w:val="FootnoteText"/>
      </w:pPr>
      <w:r w:rsidRPr="3EFCF1FD">
        <w:rPr>
          <w:rStyle w:val="FootnoteReference"/>
        </w:rPr>
        <w:footnoteRef/>
      </w:r>
      <w:r>
        <w:t xml:space="preserve"> Minn. R. 1400.2030, subp. 1.</w:t>
      </w:r>
    </w:p>
  </w:footnote>
  <w:footnote w:id="17">
    <w:p w14:paraId="7111D121" w14:textId="77777777" w:rsidR="00AA7141" w:rsidRDefault="00AA7141" w:rsidP="00AA7141">
      <w:pPr>
        <w:pStyle w:val="FootnoteText"/>
      </w:pPr>
      <w:r>
        <w:rPr>
          <w:rStyle w:val="FootnoteReference"/>
        </w:rPr>
        <w:footnoteRef/>
      </w:r>
      <w:r>
        <w:t xml:space="preserve"> This has been changing at the federal level with recent Supreme Court decisions.</w:t>
      </w:r>
    </w:p>
  </w:footnote>
  <w:footnote w:id="18">
    <w:p w14:paraId="5390DB25" w14:textId="77777777" w:rsidR="00AA7141" w:rsidRDefault="00AA7141" w:rsidP="00AA7141">
      <w:pPr>
        <w:pStyle w:val="FootnoteText"/>
      </w:pPr>
      <w:r>
        <w:rPr>
          <w:rStyle w:val="FootnoteReference"/>
        </w:rPr>
        <w:footnoteRef/>
      </w:r>
      <w:r>
        <w:t xml:space="preserve"> Minn. Stat. </w:t>
      </w:r>
      <w:r>
        <w:rPr>
          <w:rFonts w:cs="Calibri"/>
        </w:rPr>
        <w:t>§</w:t>
      </w:r>
      <w:r>
        <w:t xml:space="preserve"> 14.05, subd. 6.</w:t>
      </w:r>
    </w:p>
  </w:footnote>
  <w:footnote w:id="19">
    <w:p w14:paraId="7733F387" w14:textId="77777777" w:rsidR="00AA7141" w:rsidRPr="001A0CF4" w:rsidRDefault="00AA7141" w:rsidP="00AA7141">
      <w:pPr>
        <w:pStyle w:val="FootnoteText"/>
      </w:pPr>
      <w:r>
        <w:rPr>
          <w:rStyle w:val="FootnoteReference"/>
        </w:rPr>
        <w:footnoteRef/>
      </w:r>
      <w:r>
        <w:t xml:space="preserve"> </w:t>
      </w:r>
      <w:r>
        <w:rPr>
          <w:i/>
          <w:iCs/>
        </w:rPr>
        <w:t>See</w:t>
      </w:r>
      <w:r>
        <w:t xml:space="preserve"> Minn. Stat. § 14.16, subd. 3.</w:t>
      </w:r>
    </w:p>
  </w:footnote>
  <w:footnote w:id="20">
    <w:p w14:paraId="1F128120" w14:textId="77777777" w:rsidR="00AA7141" w:rsidRDefault="00AA7141" w:rsidP="00AA7141">
      <w:pPr>
        <w:pStyle w:val="FootnoteText"/>
      </w:pPr>
      <w:r>
        <w:rPr>
          <w:rStyle w:val="FootnoteReference"/>
        </w:rPr>
        <w:footnoteRef/>
      </w:r>
      <w:r>
        <w:t xml:space="preserve"> Minn. Stat. § 14.14, subd. 1a.</w:t>
      </w:r>
    </w:p>
  </w:footnote>
  <w:footnote w:id="21">
    <w:p w14:paraId="23F05E80" w14:textId="77777777" w:rsidR="00AA7141" w:rsidRDefault="00AA7141" w:rsidP="00AA7141">
      <w:pPr>
        <w:pStyle w:val="FootnoteText"/>
      </w:pPr>
      <w:r>
        <w:rPr>
          <w:rStyle w:val="FootnoteReference"/>
        </w:rPr>
        <w:footnoteRef/>
      </w:r>
      <w:r>
        <w:t xml:space="preserve"> Minn. Stat. </w:t>
      </w:r>
      <w:r>
        <w:rPr>
          <w:rFonts w:cs="Calibri"/>
        </w:rPr>
        <w:t>§ 14.366.</w:t>
      </w:r>
    </w:p>
  </w:footnote>
  <w:footnote w:id="22">
    <w:p w14:paraId="57661EFA" w14:textId="77777777" w:rsidR="00AA7141" w:rsidRDefault="00AA7141" w:rsidP="00AA7141">
      <w:pPr>
        <w:pStyle w:val="FootnoteText"/>
      </w:pPr>
      <w:r>
        <w:rPr>
          <w:rStyle w:val="FootnoteReference"/>
        </w:rPr>
        <w:footnoteRef/>
      </w:r>
      <w:r>
        <w:t xml:space="preserve"> Minn. Stat. § 14.116(a).</w:t>
      </w:r>
    </w:p>
  </w:footnote>
  <w:footnote w:id="23">
    <w:p w14:paraId="03BF4BCB" w14:textId="77777777" w:rsidR="00AA7141" w:rsidRDefault="00AA7141" w:rsidP="00AA7141">
      <w:pPr>
        <w:pStyle w:val="FootnoteText"/>
      </w:pPr>
      <w:r>
        <w:rPr>
          <w:rStyle w:val="FootnoteReference"/>
        </w:rPr>
        <w:footnoteRef/>
      </w:r>
      <w:r>
        <w:t xml:space="preserve"> Minn. Stat. </w:t>
      </w:r>
      <w:r>
        <w:rPr>
          <w:rFonts w:cs="Calibri"/>
        </w:rPr>
        <w:t>§ 3.195, subd. 1(a).</w:t>
      </w:r>
    </w:p>
  </w:footnote>
  <w:footnote w:id="24">
    <w:p w14:paraId="5CCB5E98" w14:textId="77777777" w:rsidR="00AA7141" w:rsidRDefault="00AA7141" w:rsidP="00AA7141">
      <w:pPr>
        <w:pStyle w:val="FootnoteText"/>
      </w:pPr>
      <w:r>
        <w:rPr>
          <w:rStyle w:val="FootnoteReference"/>
        </w:rPr>
        <w:footnoteRef/>
      </w:r>
      <w:r>
        <w:t xml:space="preserve"> </w:t>
      </w:r>
      <w:r w:rsidRPr="007F5DFF">
        <w:rPr>
          <w:i/>
          <w:iCs/>
        </w:rPr>
        <w:t>See</w:t>
      </w:r>
      <w:r>
        <w:t xml:space="preserve"> Minn. Stat. </w:t>
      </w:r>
      <w:r>
        <w:rPr>
          <w:rFonts w:cs="Calibri"/>
        </w:rPr>
        <w:t>§ 43A.04, subd.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5.8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E42194"/>
    <w:multiLevelType w:val="hybridMultilevel"/>
    <w:tmpl w:val="BC129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772A88"/>
    <w:multiLevelType w:val="hybridMultilevel"/>
    <w:tmpl w:val="A8204DBC"/>
    <w:lvl w:ilvl="0" w:tplc="5F501692">
      <w:start w:val="1"/>
      <w:numFmt w:val="bullet"/>
      <w:pStyle w:val="RuleManual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813A1"/>
    <w:multiLevelType w:val="hybridMultilevel"/>
    <w:tmpl w:val="BC129C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50C89"/>
    <w:multiLevelType w:val="hybridMultilevel"/>
    <w:tmpl w:val="35B4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17AC5"/>
    <w:multiLevelType w:val="hybridMultilevel"/>
    <w:tmpl w:val="4A785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C0638B"/>
    <w:multiLevelType w:val="hybridMultilevel"/>
    <w:tmpl w:val="78443ABC"/>
    <w:lvl w:ilvl="0" w:tplc="DC30D748">
      <w:start w:val="1"/>
      <w:numFmt w:val="decimal"/>
      <w:lvlText w:val="%1."/>
      <w:lvlJc w:val="left"/>
      <w:pPr>
        <w:ind w:left="720" w:hanging="360"/>
      </w:pPr>
      <w:rPr>
        <w:rFonts w:ascii="Calibri" w:hAnsi="Calibri" w:hint="default"/>
        <w:b w:val="0"/>
        <w:i w:val="0"/>
        <w:color w:val="auto"/>
        <w:sz w:val="2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131681">
    <w:abstractNumId w:val="3"/>
  </w:num>
  <w:num w:numId="2" w16cid:durableId="1674918796">
    <w:abstractNumId w:val="8"/>
  </w:num>
  <w:num w:numId="3" w16cid:durableId="1841391245">
    <w:abstractNumId w:val="25"/>
  </w:num>
  <w:num w:numId="4" w16cid:durableId="370887716">
    <w:abstractNumId w:val="20"/>
  </w:num>
  <w:num w:numId="5" w16cid:durableId="1636064400">
    <w:abstractNumId w:val="18"/>
  </w:num>
  <w:num w:numId="6" w16cid:durableId="1943144322">
    <w:abstractNumId w:val="5"/>
  </w:num>
  <w:num w:numId="7" w16cid:durableId="1834562212">
    <w:abstractNumId w:val="16"/>
  </w:num>
  <w:num w:numId="8" w16cid:durableId="1759521142">
    <w:abstractNumId w:val="9"/>
  </w:num>
  <w:num w:numId="9" w16cid:durableId="1026638497">
    <w:abstractNumId w:val="13"/>
  </w:num>
  <w:num w:numId="10" w16cid:durableId="739672018">
    <w:abstractNumId w:val="2"/>
  </w:num>
  <w:num w:numId="11" w16cid:durableId="2121103267">
    <w:abstractNumId w:val="2"/>
  </w:num>
  <w:num w:numId="12" w16cid:durableId="1649822330">
    <w:abstractNumId w:val="26"/>
  </w:num>
  <w:num w:numId="13" w16cid:durableId="570772305">
    <w:abstractNumId w:val="27"/>
  </w:num>
  <w:num w:numId="14" w16cid:durableId="662515248">
    <w:abstractNumId w:val="17"/>
  </w:num>
  <w:num w:numId="15" w16cid:durableId="379789286">
    <w:abstractNumId w:val="2"/>
  </w:num>
  <w:num w:numId="16" w16cid:durableId="1578439745">
    <w:abstractNumId w:val="27"/>
  </w:num>
  <w:num w:numId="17" w16cid:durableId="2124955463">
    <w:abstractNumId w:val="17"/>
  </w:num>
  <w:num w:numId="18" w16cid:durableId="977758654">
    <w:abstractNumId w:val="11"/>
  </w:num>
  <w:num w:numId="19" w16cid:durableId="637146322">
    <w:abstractNumId w:val="7"/>
  </w:num>
  <w:num w:numId="20" w16cid:durableId="785464239">
    <w:abstractNumId w:val="1"/>
  </w:num>
  <w:num w:numId="21" w16cid:durableId="393088414">
    <w:abstractNumId w:val="0"/>
  </w:num>
  <w:num w:numId="22" w16cid:durableId="1360543768">
    <w:abstractNumId w:val="10"/>
  </w:num>
  <w:num w:numId="23" w16cid:durableId="1453016560">
    <w:abstractNumId w:val="19"/>
  </w:num>
  <w:num w:numId="24" w16cid:durableId="865556085">
    <w:abstractNumId w:val="21"/>
  </w:num>
  <w:num w:numId="25" w16cid:durableId="1187987817">
    <w:abstractNumId w:val="21"/>
  </w:num>
  <w:num w:numId="26" w16cid:durableId="725954262">
    <w:abstractNumId w:val="22"/>
  </w:num>
  <w:num w:numId="27" w16cid:durableId="1036928037">
    <w:abstractNumId w:val="14"/>
  </w:num>
  <w:num w:numId="28" w16cid:durableId="1246964181">
    <w:abstractNumId w:val="23"/>
  </w:num>
  <w:num w:numId="29" w16cid:durableId="2068989851">
    <w:abstractNumId w:val="4"/>
  </w:num>
  <w:num w:numId="30" w16cid:durableId="983658668">
    <w:abstractNumId w:val="24"/>
  </w:num>
  <w:num w:numId="31" w16cid:durableId="1075203838">
    <w:abstractNumId w:val="6"/>
  </w:num>
  <w:num w:numId="32" w16cid:durableId="909970513">
    <w:abstractNumId w:val="15"/>
  </w:num>
  <w:num w:numId="33" w16cid:durableId="80085247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5A"/>
    <w:rsid w:val="00002DEC"/>
    <w:rsid w:val="00004C63"/>
    <w:rsid w:val="000065AC"/>
    <w:rsid w:val="00006A0A"/>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562D"/>
    <w:rsid w:val="001661D9"/>
    <w:rsid w:val="001708EC"/>
    <w:rsid w:val="001925A8"/>
    <w:rsid w:val="0019673D"/>
    <w:rsid w:val="00197518"/>
    <w:rsid w:val="00197F44"/>
    <w:rsid w:val="001A46BB"/>
    <w:rsid w:val="001B6FD0"/>
    <w:rsid w:val="001B7D48"/>
    <w:rsid w:val="001C3208"/>
    <w:rsid w:val="001C55E0"/>
    <w:rsid w:val="001D7E7B"/>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23357"/>
    <w:rsid w:val="003306BB"/>
    <w:rsid w:val="00330A0B"/>
    <w:rsid w:val="00335736"/>
    <w:rsid w:val="0034405A"/>
    <w:rsid w:val="003563D2"/>
    <w:rsid w:val="00376FA5"/>
    <w:rsid w:val="00391B92"/>
    <w:rsid w:val="003A1479"/>
    <w:rsid w:val="003A1813"/>
    <w:rsid w:val="003B7D82"/>
    <w:rsid w:val="003C23E7"/>
    <w:rsid w:val="003C4644"/>
    <w:rsid w:val="003C5BE3"/>
    <w:rsid w:val="00413A7C"/>
    <w:rsid w:val="004141DD"/>
    <w:rsid w:val="00443DC4"/>
    <w:rsid w:val="00443E3E"/>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2FF3"/>
    <w:rsid w:val="00514788"/>
    <w:rsid w:val="00526605"/>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32296"/>
    <w:rsid w:val="00652D74"/>
    <w:rsid w:val="00655345"/>
    <w:rsid w:val="0065683E"/>
    <w:rsid w:val="006575CB"/>
    <w:rsid w:val="00672536"/>
    <w:rsid w:val="00677869"/>
    <w:rsid w:val="00681EDC"/>
    <w:rsid w:val="00683D66"/>
    <w:rsid w:val="0068649F"/>
    <w:rsid w:val="00687189"/>
    <w:rsid w:val="00697CCC"/>
    <w:rsid w:val="006B13B7"/>
    <w:rsid w:val="006B2942"/>
    <w:rsid w:val="006B3994"/>
    <w:rsid w:val="006C0E45"/>
    <w:rsid w:val="006D4829"/>
    <w:rsid w:val="006E18EC"/>
    <w:rsid w:val="006F3B38"/>
    <w:rsid w:val="007137A4"/>
    <w:rsid w:val="00745E22"/>
    <w:rsid w:val="0074778B"/>
    <w:rsid w:val="00755BD1"/>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1BAC"/>
    <w:rsid w:val="009837DB"/>
    <w:rsid w:val="00984CC9"/>
    <w:rsid w:val="00990E51"/>
    <w:rsid w:val="0099233F"/>
    <w:rsid w:val="009B54A0"/>
    <w:rsid w:val="009C6405"/>
    <w:rsid w:val="009D0720"/>
    <w:rsid w:val="009F6B2C"/>
    <w:rsid w:val="00A30799"/>
    <w:rsid w:val="00A476C1"/>
    <w:rsid w:val="00A57FE8"/>
    <w:rsid w:val="00A64ECE"/>
    <w:rsid w:val="00A66185"/>
    <w:rsid w:val="00A71CAD"/>
    <w:rsid w:val="00A731A2"/>
    <w:rsid w:val="00A75F85"/>
    <w:rsid w:val="00A827B0"/>
    <w:rsid w:val="00A827C1"/>
    <w:rsid w:val="00A835DA"/>
    <w:rsid w:val="00A92AFF"/>
    <w:rsid w:val="00A93F40"/>
    <w:rsid w:val="00A96F93"/>
    <w:rsid w:val="00AA7141"/>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D0E59"/>
    <w:rsid w:val="00BE0288"/>
    <w:rsid w:val="00BE3444"/>
    <w:rsid w:val="00C05A8E"/>
    <w:rsid w:val="00C12D2F"/>
    <w:rsid w:val="00C277A8"/>
    <w:rsid w:val="00C309AE"/>
    <w:rsid w:val="00C365CE"/>
    <w:rsid w:val="00C417EB"/>
    <w:rsid w:val="00C528AE"/>
    <w:rsid w:val="00C667F3"/>
    <w:rsid w:val="00C90830"/>
    <w:rsid w:val="00CA5D23"/>
    <w:rsid w:val="00CE0FEE"/>
    <w:rsid w:val="00CE45B0"/>
    <w:rsid w:val="00CF1393"/>
    <w:rsid w:val="00CF4F3A"/>
    <w:rsid w:val="00D0014D"/>
    <w:rsid w:val="00D04C9B"/>
    <w:rsid w:val="00D22819"/>
    <w:rsid w:val="00D33929"/>
    <w:rsid w:val="00D511F0"/>
    <w:rsid w:val="00D54EE5"/>
    <w:rsid w:val="00D63F82"/>
    <w:rsid w:val="00D640FC"/>
    <w:rsid w:val="00D65587"/>
    <w:rsid w:val="00D70F7D"/>
    <w:rsid w:val="00D761F7"/>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7358D"/>
    <w:rsid w:val="00E76267"/>
    <w:rsid w:val="00EA535B"/>
    <w:rsid w:val="00EC579D"/>
    <w:rsid w:val="00ED5BDC"/>
    <w:rsid w:val="00ED7DAC"/>
    <w:rsid w:val="00F067A6"/>
    <w:rsid w:val="00F20B25"/>
    <w:rsid w:val="00F212F3"/>
    <w:rsid w:val="00F278C3"/>
    <w:rsid w:val="00F70C03"/>
    <w:rsid w:val="00F9084A"/>
    <w:rsid w:val="00F922FA"/>
    <w:rsid w:val="00FB3204"/>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73792D1C"/>
  <w15:chartTrackingRefBased/>
  <w15:docId w15:val="{66A68A28-B25A-47CD-9DE8-1F8D870C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1" w:qFormat="1"/>
    <w:lsdException w:name="heading 4" w:uiPriority="9"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A7141"/>
    <w:pPr>
      <w:spacing w:before="240"/>
    </w:p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odyText">
    <w:name w:val="Body Text"/>
    <w:link w:val="BodyTextChar"/>
    <w:qFormat/>
    <w:rsid w:val="0034405A"/>
    <w:pPr>
      <w:spacing w:before="240"/>
    </w:pPr>
    <w:rPr>
      <w:rFonts w:asciiTheme="minorHAnsi" w:hAnsiTheme="minorHAnsi"/>
      <w:sz w:val="24"/>
      <w:szCs w:val="24"/>
    </w:rPr>
  </w:style>
  <w:style w:type="character" w:customStyle="1" w:styleId="BodyTextChar">
    <w:name w:val="Body Text Char"/>
    <w:basedOn w:val="DefaultParagraphFont"/>
    <w:link w:val="BodyText"/>
    <w:rsid w:val="0034405A"/>
    <w:rPr>
      <w:rFonts w:asciiTheme="minorHAnsi" w:hAnsiTheme="minorHAnsi"/>
      <w:sz w:val="24"/>
      <w:szCs w:val="24"/>
    </w:rPr>
  </w:style>
  <w:style w:type="paragraph" w:styleId="FootnoteText">
    <w:name w:val="footnote text"/>
    <w:basedOn w:val="Normal"/>
    <w:link w:val="FootnoteTextChar"/>
    <w:uiPriority w:val="99"/>
    <w:semiHidden/>
    <w:unhideWhenUsed/>
    <w:rsid w:val="0034405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34405A"/>
    <w:rPr>
      <w:sz w:val="20"/>
      <w:szCs w:val="20"/>
    </w:rPr>
  </w:style>
  <w:style w:type="character" w:styleId="FootnoteReference">
    <w:name w:val="footnote reference"/>
    <w:basedOn w:val="DefaultParagraphFont"/>
    <w:uiPriority w:val="99"/>
    <w:semiHidden/>
    <w:unhideWhenUsed/>
    <w:rsid w:val="0034405A"/>
    <w:rPr>
      <w:vertAlign w:val="superscript"/>
    </w:rPr>
  </w:style>
  <w:style w:type="paragraph" w:customStyle="1" w:styleId="RuleManualList">
    <w:name w:val="Rule Manual List"/>
    <w:basedOn w:val="Normal"/>
    <w:link w:val="RuleManualListChar"/>
    <w:qFormat/>
    <w:rsid w:val="0034405A"/>
    <w:pPr>
      <w:numPr>
        <w:numId w:val="31"/>
      </w:numPr>
      <w:spacing w:before="120"/>
    </w:pPr>
    <w:rPr>
      <w:sz w:val="24"/>
      <w:szCs w:val="24"/>
    </w:rPr>
  </w:style>
  <w:style w:type="character" w:customStyle="1" w:styleId="RuleManualListChar">
    <w:name w:val="Rule Manual List Char"/>
    <w:basedOn w:val="DefaultParagraphFont"/>
    <w:link w:val="RuleManualList"/>
    <w:rsid w:val="0034405A"/>
    <w:rPr>
      <w:sz w:val="24"/>
      <w:szCs w:val="24"/>
    </w:rPr>
  </w:style>
  <w:style w:type="paragraph" w:styleId="Header">
    <w:name w:val="header"/>
    <w:basedOn w:val="Normal"/>
    <w:link w:val="HeaderChar"/>
    <w:uiPriority w:val="99"/>
    <w:unhideWhenUsed/>
    <w:rsid w:val="00755BD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55BD1"/>
  </w:style>
  <w:style w:type="character" w:styleId="UnresolvedMention">
    <w:name w:val="Unresolved Mention"/>
    <w:basedOn w:val="DefaultParagraphFont"/>
    <w:uiPriority w:val="99"/>
    <w:semiHidden/>
    <w:unhideWhenUsed/>
    <w:rsid w:val="00004C63"/>
    <w:rPr>
      <w:color w:val="605E5C"/>
      <w:shd w:val="clear" w:color="auto" w:fill="E1DFDD"/>
    </w:rPr>
  </w:style>
  <w:style w:type="character" w:styleId="FollowedHyperlink">
    <w:name w:val="FollowedHyperlink"/>
    <w:basedOn w:val="DefaultParagraphFont"/>
    <w:semiHidden/>
    <w:unhideWhenUsed/>
    <w:rsid w:val="001D7E7B"/>
    <w:rPr>
      <w:color w:val="5D295F" w:themeColor="followedHyperlink"/>
      <w:u w:val="single"/>
    </w:rPr>
  </w:style>
  <w:style w:type="paragraph" w:styleId="Title">
    <w:name w:val="Title"/>
    <w:basedOn w:val="Normal"/>
    <w:next w:val="Normal"/>
    <w:link w:val="TitleChar"/>
    <w:uiPriority w:val="10"/>
    <w:qFormat/>
    <w:rsid w:val="003C23E7"/>
    <w:pPr>
      <w:spacing w:before="120" w:line="240" w:lineRule="auto"/>
      <w:contextualSpacing/>
      <w:jc w:val="center"/>
    </w:pPr>
    <w:rPr>
      <w:rFonts w:asciiTheme="minorHAnsi" w:eastAsiaTheme="majorEastAsia" w:hAnsiTheme="minorHAnsi" w:cstheme="majorBidi"/>
      <w:b/>
      <w:color w:val="002060"/>
      <w:spacing w:val="5"/>
      <w:kern w:val="28"/>
      <w:sz w:val="44"/>
      <w:szCs w:val="56"/>
    </w:rPr>
  </w:style>
  <w:style w:type="character" w:customStyle="1" w:styleId="TitleChar">
    <w:name w:val="Title Char"/>
    <w:basedOn w:val="DefaultParagraphFont"/>
    <w:link w:val="Title"/>
    <w:uiPriority w:val="10"/>
    <w:rsid w:val="003C23E7"/>
    <w:rPr>
      <w:rFonts w:asciiTheme="minorHAnsi" w:eastAsiaTheme="majorEastAsia" w:hAnsiTheme="minorHAnsi" w:cstheme="majorBidi"/>
      <w:b/>
      <w:color w:val="002060"/>
      <w:spacing w:val="5"/>
      <w:kern w:val="28"/>
      <w:sz w:val="44"/>
      <w:szCs w:val="56"/>
    </w:rPr>
  </w:style>
  <w:style w:type="paragraph" w:styleId="Subtitle">
    <w:name w:val="Subtitle"/>
    <w:basedOn w:val="Normal"/>
    <w:next w:val="Normal"/>
    <w:link w:val="SubtitleChar"/>
    <w:uiPriority w:val="11"/>
    <w:qFormat/>
    <w:rsid w:val="00526605"/>
    <w:pPr>
      <w:numPr>
        <w:ilvl w:val="1"/>
      </w:numPr>
      <w:spacing w:after="160"/>
    </w:pPr>
    <w:rPr>
      <w:rFonts w:asciiTheme="minorHAnsi" w:eastAsiaTheme="minorEastAsia" w:hAnsiTheme="minorHAnsi" w:cstheme="minorBidi"/>
      <w:color w:val="595959" w:themeColor="text2" w:themeTint="A6"/>
      <w:spacing w:val="15"/>
    </w:rPr>
  </w:style>
  <w:style w:type="character" w:customStyle="1" w:styleId="SubtitleChar">
    <w:name w:val="Subtitle Char"/>
    <w:basedOn w:val="DefaultParagraphFont"/>
    <w:link w:val="Subtitle"/>
    <w:uiPriority w:val="11"/>
    <w:rsid w:val="00526605"/>
    <w:rPr>
      <w:rFonts w:asciiTheme="minorHAnsi" w:eastAsiaTheme="minorEastAsia" w:hAnsiTheme="minorHAnsi" w:cstheme="minorBidi"/>
      <w:color w:val="595959" w:themeColor="text2" w:themeTint="A6"/>
      <w:spacing w:val="15"/>
    </w:rPr>
  </w:style>
  <w:style w:type="paragraph" w:styleId="TOC1">
    <w:name w:val="toc 1"/>
    <w:basedOn w:val="Normal"/>
    <w:next w:val="Normal"/>
    <w:autoRedefine/>
    <w:uiPriority w:val="39"/>
    <w:unhideWhenUsed/>
    <w:rsid w:val="003C23E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reports@lrl.mn.gov" TargetMode="External"/><Relationship Id="rId26" Type="http://schemas.openxmlformats.org/officeDocument/2006/relationships/hyperlink" Target="https://centerforplainlanguage.org/" TargetMode="External"/><Relationship Id="rId39" Type="http://schemas.openxmlformats.org/officeDocument/2006/relationships/hyperlink" Target="https://mn.gov/oah/lawyers-and-litigants/administrative-law/docket-request.jsp" TargetMode="External"/><Relationship Id="rId21" Type="http://schemas.openxmlformats.org/officeDocument/2006/relationships/hyperlink" Target="mailto:douglas.spanier@state.mn.us" TargetMode="External"/><Relationship Id="rId34" Type="http://schemas.openxmlformats.org/officeDocument/2006/relationships/hyperlink" Target="https://www.revisor.mn.gov/static/office/pubs/2018_all_rulemaking_guide.491681155472.pdf" TargetMode="External"/><Relationship Id="rId42" Type="http://schemas.openxmlformats.org/officeDocument/2006/relationships/hyperlink" Target="mailto:William.T.Moore@state.mn.us" TargetMode="External"/><Relationship Id="rId47" Type="http://schemas.openxmlformats.org/officeDocument/2006/relationships/hyperlink" Target="mailto:andrea.barker@state.mn.us" TargetMode="External"/><Relationship Id="rId50" Type="http://schemas.openxmlformats.org/officeDocument/2006/relationships/hyperlink" Target="mailto:andrea.barker@state.mn.us"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bibi.black@state.mn.us" TargetMode="External"/><Relationship Id="rId29" Type="http://schemas.openxmlformats.org/officeDocument/2006/relationships/hyperlink" Target="https://www.revisor.mn.gov/statutes/cite/14.05" TargetMode="External"/><Relationship Id="rId11" Type="http://schemas.openxmlformats.org/officeDocument/2006/relationships/image" Target="media/image2.png"/><Relationship Id="rId24" Type="http://schemas.openxmlformats.org/officeDocument/2006/relationships/hyperlink" Target="mailto:celeste.marin@state.mn.us" TargetMode="External"/><Relationship Id="rId32" Type="http://schemas.openxmlformats.org/officeDocument/2006/relationships/hyperlink" Target="https://www.revisor.mn.gov/statutes/cite/14.389" TargetMode="External"/><Relationship Id="rId37" Type="http://schemas.openxmlformats.org/officeDocument/2006/relationships/hyperlink" Target="https://mn.gov/oah/forms-and-filing/efiling/" TargetMode="External"/><Relationship Id="rId40" Type="http://schemas.openxmlformats.org/officeDocument/2006/relationships/hyperlink" Target="https://mn.gov/oah/forms-and-filing/ecomments/" TargetMode="External"/><Relationship Id="rId45" Type="http://schemas.openxmlformats.org/officeDocument/2006/relationships/hyperlink" Target="mailto:celeste.marin@state.mn.us"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chriss@lrl.mn.gov" TargetMode="External"/><Relationship Id="rId31" Type="http://schemas.openxmlformats.org/officeDocument/2006/relationships/hyperlink" Target="https://www.revisor.mn.gov/statutes/cite/14.388" TargetMode="External"/><Relationship Id="rId44" Type="http://schemas.openxmlformats.org/officeDocument/2006/relationships/hyperlink" Target="https://www.lrl.mn.gov/mndocs/mandates"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illiam.t.moore@state.mn.us" TargetMode="External"/><Relationship Id="rId22" Type="http://schemas.openxmlformats.org/officeDocument/2006/relationships/hyperlink" Target="mailto:andrea.barker@state.mn.us" TargetMode="External"/><Relationship Id="rId27" Type="http://schemas.openxmlformats.org/officeDocument/2006/relationships/hyperlink" Target="https://www.clarity-international.org/" TargetMode="External"/><Relationship Id="rId30" Type="http://schemas.openxmlformats.org/officeDocument/2006/relationships/hyperlink" Target="https://www.revisor.mn.gov/statutes/cite/14.386" TargetMode="External"/><Relationship Id="rId35" Type="http://schemas.openxmlformats.org/officeDocument/2006/relationships/hyperlink" Target="https://www.revisor.mn.gov/static/office/1997_RuleDraftManual.a285c37112da.pdf" TargetMode="External"/><Relationship Id="rId43" Type="http://schemas.openxmlformats.org/officeDocument/2006/relationships/hyperlink" Target="https://mn.gov/mnit/about-mnit/accessibility/" TargetMode="External"/><Relationship Id="rId48" Type="http://schemas.openxmlformats.org/officeDocument/2006/relationships/hyperlink" Target="mailto:ian.lewenstein@state.mn.us" TargetMode="External"/><Relationship Id="rId8" Type="http://schemas.openxmlformats.org/officeDocument/2006/relationships/webSettings" Target="webSettings.xml"/><Relationship Id="rId51" Type="http://schemas.openxmlformats.org/officeDocument/2006/relationships/hyperlink" Target="mailto:ian.lewenstein@state.mn.us" TargetMode="External"/><Relationship Id="rId3" Type="http://schemas.openxmlformats.org/officeDocument/2006/relationships/customXml" Target="../customXml/item3.xml"/><Relationship Id="rId12" Type="http://schemas.openxmlformats.org/officeDocument/2006/relationships/hyperlink" Target="http://www.health.state.mn.us/data/rules/manual" TargetMode="External"/><Relationship Id="rId17" Type="http://schemas.openxmlformats.org/officeDocument/2006/relationships/hyperlink" Target="mailto:sean.plemmons@state.mn.us" TargetMode="External"/><Relationship Id="rId25" Type="http://schemas.openxmlformats.org/officeDocument/2006/relationships/hyperlink" Target="https://www.health.state.mn.us/data/rules/index.html" TargetMode="External"/><Relationship Id="rId33" Type="http://schemas.openxmlformats.org/officeDocument/2006/relationships/hyperlink" Target="https://www.revisor.mn.gov/statutes/cite/14.3895" TargetMode="External"/><Relationship Id="rId38" Type="http://schemas.openxmlformats.org/officeDocument/2006/relationships/hyperlink" Target="https://mn.gov/oah/forms-and-filing/forms/" TargetMode="External"/><Relationship Id="rId46" Type="http://schemas.openxmlformats.org/officeDocument/2006/relationships/hyperlink" Target="https://mn.gov/oah/lawyers-and-litigants/administrative-law/opinion-archive.jsp" TargetMode="External"/><Relationship Id="rId20" Type="http://schemas.openxmlformats.org/officeDocument/2006/relationships/hyperlink" Target="mailto:lcc@lcc.leg.mn" TargetMode="External"/><Relationship Id="rId41" Type="http://schemas.openxmlformats.org/officeDocument/2006/relationships/hyperlink" Target="https://mn.gov/oah/forms-and-filing/ecomment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Official.Documents@state.mn.us" TargetMode="External"/><Relationship Id="rId23" Type="http://schemas.openxmlformats.org/officeDocument/2006/relationships/hyperlink" Target="mailto:ian.lewenstein@state.mn.us" TargetMode="External"/><Relationship Id="rId28" Type="http://schemas.openxmlformats.org/officeDocument/2006/relationships/hyperlink" Target="https://www.michbar.org/generalinfo/plainenglish/home" TargetMode="External"/><Relationship Id="rId36" Type="http://schemas.openxmlformats.org/officeDocument/2006/relationships/hyperlink" Target="http://mitchellhamline.edu/minnesota-administrative-procedure/" TargetMode="External"/><Relationship Id="rId49" Type="http://schemas.openxmlformats.org/officeDocument/2006/relationships/hyperlink" Target="https://www.health.state.mn.us/data/rules/manual/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n.gov/governor/assets/2019_04_05_EO_19-29_tcm1055-379049.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53ABF-6C46-40BC-A34C-0E04BB3DA5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F90553-5AB9-4EC4-AE71-899C0F1EA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7DB44-E02E-41CC-9B01-94EBBB36B031}">
  <ds:schemaRefs>
    <ds:schemaRef ds:uri="http://schemas.microsoft.com/sharepoint/v3/contenttype/forms"/>
  </ds:schemaRefs>
</ds:datastoreItem>
</file>

<file path=customXml/itemProps4.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4533</Words>
  <Characters>28331</Characters>
  <Application>Microsoft Office Word</Application>
  <DocSecurity>0</DocSecurity>
  <Lines>236</Lines>
  <Paragraphs>65</Paragraphs>
  <ScaleCrop>false</ScaleCrop>
  <HeadingPairs>
    <vt:vector size="2" baseType="variant">
      <vt:variant>
        <vt:lpstr>Title</vt:lpstr>
      </vt:variant>
      <vt:variant>
        <vt:i4>1</vt:i4>
      </vt:variant>
    </vt:vector>
  </HeadingPairs>
  <TitlesOfParts>
    <vt:vector size="1" baseType="lpstr">
      <vt:lpstr>Minnesota Rulemaking Manual – Chapter 1</vt:lpstr>
    </vt:vector>
  </TitlesOfParts>
  <Company>State of MN</Company>
  <LinksUpToDate>false</LinksUpToDate>
  <CharactersWithSpaces>32799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Rulemaking Manual – Chapter 1</dc:title>
  <dc:subject>Rulemaking Manual</dc:subject>
  <dc:creator>MDH Legal</dc:creator>
  <cp:keywords/>
  <dc:description/>
  <cp:lastModifiedBy>Aguilar, Michelle (MDH)</cp:lastModifiedBy>
  <cp:revision>6</cp:revision>
  <dcterms:created xsi:type="dcterms:W3CDTF">2025-01-09T21:47:00Z</dcterms:created>
  <dcterms:modified xsi:type="dcterms:W3CDTF">2025-01-15T17:00:00Z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