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037C2" w14:textId="77777777" w:rsidR="00B94C9F" w:rsidRDefault="00B94C9F" w:rsidP="002C0187">
      <w:pPr>
        <w:pStyle w:val="LOGO"/>
      </w:pPr>
      <w:r>
        <w:drawing>
          <wp:inline distT="0" distB="0" distL="0" distR="0" wp14:anchorId="2A7DF8FD" wp14:editId="3DC5DA7A">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F5B1771" w14:textId="33B7ED57" w:rsidR="00B94C9F" w:rsidRDefault="00A231F0" w:rsidP="00A231F0">
      <w:pPr>
        <w:pStyle w:val="Heading1"/>
      </w:pPr>
      <w:r w:rsidRPr="00A231F0">
        <w:t xml:space="preserve">Health Advisory: </w:t>
      </w:r>
      <w:r w:rsidR="008A73B0">
        <w:t xml:space="preserve">New </w:t>
      </w:r>
      <w:r w:rsidRPr="00A231F0">
        <w:t>Measles Cases in Twin Cities Area</w:t>
      </w:r>
    </w:p>
    <w:p w14:paraId="7506A17C" w14:textId="2CA429FC" w:rsidR="00A231F0" w:rsidRDefault="00A231F0" w:rsidP="00A231F0">
      <w:pPr>
        <w:divId w:val="1192693164"/>
      </w:pPr>
      <w:r>
        <w:t xml:space="preserve">Minnesota Department of Health, </w:t>
      </w:r>
      <w:r w:rsidR="00512935">
        <w:t>Thurs</w:t>
      </w:r>
      <w:r w:rsidR="2CE8D4B0">
        <w:t>,</w:t>
      </w:r>
      <w:r>
        <w:t xml:space="preserve"> </w:t>
      </w:r>
      <w:r w:rsidR="7918D9C9">
        <w:t xml:space="preserve">Sept </w:t>
      </w:r>
      <w:r w:rsidR="00512935">
        <w:t>2</w:t>
      </w:r>
      <w:r w:rsidR="004B0B5F">
        <w:t>5</w:t>
      </w:r>
      <w:r w:rsidR="7918D9C9">
        <w:t>, 2025</w:t>
      </w:r>
      <w:r>
        <w:t xml:space="preserve">, </w:t>
      </w:r>
      <w:r w:rsidR="004B0B5F">
        <w:t>11:00</w:t>
      </w:r>
      <w:r>
        <w:t xml:space="preserve"> CDT 2025</w:t>
      </w:r>
    </w:p>
    <w:p w14:paraId="1A6DFF38" w14:textId="77777777" w:rsidR="00A231F0" w:rsidRDefault="00A231F0">
      <w:pPr>
        <w:pStyle w:val="Heading2"/>
        <w:divId w:val="1192693164"/>
        <w:rPr>
          <w:rFonts w:eastAsia="Times New Roman"/>
        </w:rPr>
      </w:pPr>
      <w:r>
        <w:rPr>
          <w:rFonts w:eastAsia="Times New Roman"/>
        </w:rPr>
        <w:t>Action Steps</w:t>
      </w:r>
    </w:p>
    <w:p w14:paraId="08E4D3D9" w14:textId="77777777" w:rsidR="00A231F0" w:rsidRDefault="00A231F0" w:rsidP="00A231F0">
      <w:pPr>
        <w:divId w:val="1192693164"/>
      </w:pPr>
      <w:r>
        <w:rPr>
          <w:rStyle w:val="Emphasis"/>
          <w:b/>
          <w:bCs/>
        </w:rPr>
        <w:t>Local and tribal health department</w:t>
      </w:r>
      <w:r>
        <w:t xml:space="preserve">: Please forward to hospitals, clinics, urgent care centers, and emergency departments in your jurisdiction. </w:t>
      </w:r>
      <w:r>
        <w:br/>
      </w:r>
      <w:r>
        <w:rPr>
          <w:rStyle w:val="Emphasis"/>
          <w:b/>
          <w:bCs/>
        </w:rPr>
        <w:t>Hospitals, clinics and other facilities</w:t>
      </w:r>
      <w:r>
        <w:t>: Please forward to family physicians, pediatricians, infection preventionists, primary care clinicians, infectious disease doctors, and emergency department staff</w:t>
      </w:r>
      <w:r>
        <w:br/>
      </w:r>
      <w:r>
        <w:rPr>
          <w:rStyle w:val="Emphasis"/>
          <w:b/>
          <w:bCs/>
        </w:rPr>
        <w:t>Health care providers</w:t>
      </w:r>
      <w:r>
        <w:t>:</w:t>
      </w:r>
    </w:p>
    <w:p w14:paraId="4D9FF0C4" w14:textId="4C5CEAB3" w:rsidR="00A231F0" w:rsidRDefault="00A231F0" w:rsidP="005A3504">
      <w:pPr>
        <w:pStyle w:val="ListBullet"/>
        <w:divId w:val="1192693164"/>
        <w:rPr>
          <w:rFonts w:eastAsia="Times New Roman"/>
        </w:rPr>
      </w:pPr>
      <w:r w:rsidRPr="79773AF2">
        <w:rPr>
          <w:rFonts w:eastAsia="Times New Roman"/>
        </w:rPr>
        <w:t>Consider measles in patients with fever</w:t>
      </w:r>
      <w:r w:rsidR="002A6544">
        <w:rPr>
          <w:rFonts w:eastAsia="Times New Roman"/>
        </w:rPr>
        <w:t xml:space="preserve"> and rash</w:t>
      </w:r>
      <w:r w:rsidR="00EA13F7">
        <w:rPr>
          <w:rFonts w:eastAsia="Times New Roman"/>
        </w:rPr>
        <w:t xml:space="preserve"> accompanied by</w:t>
      </w:r>
      <w:r w:rsidRPr="79773AF2">
        <w:rPr>
          <w:rFonts w:eastAsia="Times New Roman"/>
        </w:rPr>
        <w:t xml:space="preserve"> cough, coryza, or conjunctivitis</w:t>
      </w:r>
      <w:r w:rsidR="00246DCD">
        <w:rPr>
          <w:rFonts w:eastAsia="Times New Roman"/>
        </w:rPr>
        <w:t>,</w:t>
      </w:r>
      <w:r w:rsidRPr="79773AF2">
        <w:rPr>
          <w:rFonts w:eastAsia="Times New Roman"/>
        </w:rPr>
        <w:t xml:space="preserve"> especially among unvaccinated people </w:t>
      </w:r>
      <w:r w:rsidR="001976C0">
        <w:rPr>
          <w:rFonts w:eastAsia="Times New Roman"/>
        </w:rPr>
        <w:t>who have had</w:t>
      </w:r>
      <w:r w:rsidR="00C903CF">
        <w:rPr>
          <w:rFonts w:eastAsia="Times New Roman"/>
        </w:rPr>
        <w:t xml:space="preserve"> </w:t>
      </w:r>
      <w:r w:rsidR="00263D16">
        <w:rPr>
          <w:rFonts w:eastAsia="Times New Roman"/>
        </w:rPr>
        <w:t>recent</w:t>
      </w:r>
      <w:r w:rsidRPr="79773AF2">
        <w:rPr>
          <w:rFonts w:eastAsia="Times New Roman"/>
        </w:rPr>
        <w:t xml:space="preserve"> contact with </w:t>
      </w:r>
      <w:r w:rsidR="00424B0D">
        <w:rPr>
          <w:rFonts w:eastAsia="Times New Roman"/>
        </w:rPr>
        <w:t xml:space="preserve">a </w:t>
      </w:r>
      <w:r w:rsidRPr="79773AF2">
        <w:rPr>
          <w:rFonts w:eastAsia="Times New Roman"/>
        </w:rPr>
        <w:t>measles case</w:t>
      </w:r>
      <w:r w:rsidR="68C09C69" w:rsidRPr="79773AF2">
        <w:rPr>
          <w:rFonts w:eastAsia="Times New Roman"/>
        </w:rPr>
        <w:t xml:space="preserve"> or </w:t>
      </w:r>
      <w:r w:rsidR="00424B0D">
        <w:rPr>
          <w:rFonts w:eastAsia="Times New Roman"/>
        </w:rPr>
        <w:t>have</w:t>
      </w:r>
      <w:r w:rsidR="68C09C69" w:rsidRPr="79773AF2">
        <w:rPr>
          <w:rFonts w:eastAsia="Times New Roman"/>
        </w:rPr>
        <w:t xml:space="preserve"> </w:t>
      </w:r>
      <w:r w:rsidR="00D561F3">
        <w:rPr>
          <w:rFonts w:eastAsia="Times New Roman"/>
        </w:rPr>
        <w:t>traveled domestically or internationally.</w:t>
      </w:r>
      <w:r w:rsidR="68C09C69" w:rsidRPr="79773AF2">
        <w:rPr>
          <w:rFonts w:eastAsia="Times New Roman"/>
        </w:rPr>
        <w:t xml:space="preserve"> </w:t>
      </w:r>
      <w:r w:rsidRPr="79773AF2">
        <w:rPr>
          <w:rFonts w:eastAsia="Times New Roman"/>
        </w:rPr>
        <w:t xml:space="preserve"> </w:t>
      </w:r>
    </w:p>
    <w:p w14:paraId="0BE46D3E" w14:textId="77777777" w:rsidR="00A231F0" w:rsidRDefault="00A231F0" w:rsidP="005A3504">
      <w:pPr>
        <w:pStyle w:val="ListBullet"/>
        <w:divId w:val="1192693164"/>
        <w:rPr>
          <w:rFonts w:eastAsia="Times New Roman"/>
        </w:rPr>
      </w:pPr>
      <w:r>
        <w:rPr>
          <w:rFonts w:eastAsia="Times New Roman"/>
        </w:rPr>
        <w:t xml:space="preserve">Isolate suspected measles cases in the health care setting. Refer to </w:t>
      </w:r>
      <w:hyperlink r:id="rId12" w:history="1">
        <w:r>
          <w:rPr>
            <w:rStyle w:val="Hyperlink"/>
            <w:rFonts w:eastAsia="Times New Roman"/>
          </w:rPr>
          <w:t>MDH: Minimize Measles Transmission in Health Care Settings (www.health.state.mn.us/diseases/measles/hcp/minimize.html)</w:t>
        </w:r>
      </w:hyperlink>
      <w:r>
        <w:rPr>
          <w:rFonts w:eastAsia="Times New Roman"/>
        </w:rPr>
        <w:t xml:space="preserve">. </w:t>
      </w:r>
    </w:p>
    <w:p w14:paraId="553F956D" w14:textId="77777777" w:rsidR="00A231F0" w:rsidRDefault="00A231F0" w:rsidP="005A3504">
      <w:pPr>
        <w:pStyle w:val="ListBullet"/>
        <w:divId w:val="1192693164"/>
        <w:rPr>
          <w:rFonts w:eastAsia="Times New Roman"/>
        </w:rPr>
      </w:pPr>
      <w:r>
        <w:rPr>
          <w:rFonts w:eastAsia="Times New Roman"/>
        </w:rPr>
        <w:t xml:space="preserve">Collect specimens for PCR testing as soon as possible after rash onset. MDH Public Health Laboratory provides measles PCR testing free of charge; testing is done M-F with a quick result turnaround time. Refer to </w:t>
      </w:r>
      <w:hyperlink r:id="rId13" w:history="1">
        <w:r>
          <w:rPr>
            <w:rStyle w:val="Hyperlink"/>
            <w:rFonts w:eastAsia="Times New Roman"/>
          </w:rPr>
          <w:t>MDH: Lab Testing for Measles at MDH Public Health Laboratory (www.health.state.mn.us/diseases/measles/hcp/labtesting.html)</w:t>
        </w:r>
      </w:hyperlink>
      <w:r>
        <w:rPr>
          <w:rFonts w:eastAsia="Times New Roman"/>
        </w:rPr>
        <w:t xml:space="preserve">. </w:t>
      </w:r>
    </w:p>
    <w:p w14:paraId="03544F64" w14:textId="77777777" w:rsidR="00A231F0" w:rsidRDefault="00A231F0" w:rsidP="005A3504">
      <w:pPr>
        <w:pStyle w:val="ListBullet"/>
        <w:divId w:val="1192693164"/>
        <w:rPr>
          <w:rFonts w:eastAsia="Times New Roman"/>
        </w:rPr>
      </w:pPr>
      <w:r>
        <w:rPr>
          <w:rFonts w:eastAsia="Times New Roman"/>
        </w:rPr>
        <w:t xml:space="preserve">Contact MDH at time of specimen collection to report the suspect measles case. There is a limited time to provide post-exposure prophylaxis so having information on suspect cases helps public health be able to quickly respond if the patient tests positive. </w:t>
      </w:r>
    </w:p>
    <w:p w14:paraId="54766C2B" w14:textId="005E3D10" w:rsidR="00A231F0" w:rsidRDefault="00A231F0" w:rsidP="005A3504">
      <w:pPr>
        <w:pStyle w:val="ListBullet"/>
        <w:divId w:val="1192693164"/>
        <w:rPr>
          <w:rFonts w:eastAsia="Times New Roman"/>
        </w:rPr>
      </w:pPr>
      <w:r>
        <w:rPr>
          <w:rFonts w:eastAsia="Times New Roman"/>
        </w:rPr>
        <w:t xml:space="preserve">Assess </w:t>
      </w:r>
      <w:r w:rsidR="00C51F0B">
        <w:rPr>
          <w:rFonts w:eastAsia="Times New Roman"/>
        </w:rPr>
        <w:t xml:space="preserve">measles, mumps, rubella (MMR) </w:t>
      </w:r>
      <w:r>
        <w:rPr>
          <w:rFonts w:eastAsia="Times New Roman"/>
        </w:rPr>
        <w:t xml:space="preserve">vaccination status of patients at every visit and vaccinate susceptible persons - especially those traveling internationally or to an area of ongoing measles outbreak: </w:t>
      </w:r>
      <w:hyperlink r:id="rId14" w:history="1">
        <w:r>
          <w:rPr>
            <w:rStyle w:val="Hyperlink"/>
            <w:rFonts w:eastAsia="Times New Roman"/>
          </w:rPr>
          <w:t>CDC: Measles Vaccine Recommendations (www.cdc.gov/measles/hcp/vaccine-considerations/index.html)</w:t>
        </w:r>
      </w:hyperlink>
      <w:r>
        <w:rPr>
          <w:rFonts w:eastAsia="Times New Roman"/>
        </w:rPr>
        <w:t>.</w:t>
      </w:r>
    </w:p>
    <w:p w14:paraId="5E209A58" w14:textId="77777777" w:rsidR="00A231F0" w:rsidRDefault="00A231F0" w:rsidP="005A3504">
      <w:pPr>
        <w:pStyle w:val="ListBullet"/>
        <w:divId w:val="1192693164"/>
        <w:rPr>
          <w:rFonts w:eastAsia="Times New Roman"/>
        </w:rPr>
      </w:pPr>
      <w:r>
        <w:rPr>
          <w:rFonts w:eastAsia="Times New Roman"/>
        </w:rPr>
        <w:t xml:space="preserve">Contact the Minnesota Immunization Information Connection (MIIC) to get help recalling patients due or overdue for MMR. Client Follow Up features in MIIC can be used to identify patients in need of MMR. (Email: </w:t>
      </w:r>
      <w:hyperlink r:id="rId15" w:history="1">
        <w:r>
          <w:rPr>
            <w:rStyle w:val="Hyperlink"/>
            <w:rFonts w:eastAsia="Times New Roman"/>
          </w:rPr>
          <w:t>health.miichelp@state.mn.us</w:t>
        </w:r>
      </w:hyperlink>
      <w:r>
        <w:rPr>
          <w:rFonts w:eastAsia="Times New Roman"/>
        </w:rPr>
        <w:t xml:space="preserve">) </w:t>
      </w:r>
    </w:p>
    <w:p w14:paraId="23CE01F4" w14:textId="77777777" w:rsidR="00A231F0" w:rsidRDefault="00A231F0">
      <w:pPr>
        <w:pStyle w:val="Heading2"/>
        <w:divId w:val="1192693164"/>
        <w:rPr>
          <w:rFonts w:eastAsia="Times New Roman"/>
        </w:rPr>
      </w:pPr>
      <w:r>
        <w:rPr>
          <w:rFonts w:eastAsia="Times New Roman"/>
        </w:rPr>
        <w:t>Situation Summary</w:t>
      </w:r>
    </w:p>
    <w:p w14:paraId="7076381C" w14:textId="3DADE653" w:rsidR="009C2EA0" w:rsidRDefault="009C2EA0" w:rsidP="009C2EA0">
      <w:pPr>
        <w:divId w:val="1192693164"/>
      </w:pPr>
      <w:r>
        <w:t xml:space="preserve">Three cases of measles have been identified in Minnesota in the past week. All cases are in unvaccinated children with no history of recent travel. These cases are thought to have been exposed by an unvaccinated family member with recent domestic travel who reported having a measles compatible illness but was not tested for measles. The cases reside in Dakota County. </w:t>
      </w:r>
      <w:r>
        <w:lastRenderedPageBreak/>
        <w:t>MDH is working with local health departments to contact those who were known to be exposed to these cases. These three cases bring Minnesota's case count to eight for 2025.</w:t>
      </w:r>
    </w:p>
    <w:p w14:paraId="42760070" w14:textId="02536E81" w:rsidR="00A231F0" w:rsidRDefault="009C2EA0" w:rsidP="009C2EA0">
      <w:pPr>
        <w:divId w:val="1192693164"/>
      </w:pPr>
      <w:r>
        <w:t>Nationally, measles continues to increase. As of Sept. 23, a total of 1,514 confirmed measles cases have been reported by 42 jurisdictions throughout the United States in 2025</w:t>
      </w:r>
      <w:r w:rsidR="00A231F0">
        <w:t xml:space="preserve"> (</w:t>
      </w:r>
      <w:hyperlink r:id="rId16">
        <w:r w:rsidR="007904B0">
          <w:rPr>
            <w:rStyle w:val="Hyperlink"/>
          </w:rPr>
          <w:t>CDC: Measles Cases and Outbreaks [www.cdc.gov/measles/data-research/]</w:t>
        </w:r>
      </w:hyperlink>
      <w:r w:rsidR="00A231F0">
        <w:t>)</w:t>
      </w:r>
      <w:r w:rsidR="007904B0">
        <w:t>.</w:t>
      </w:r>
    </w:p>
    <w:p w14:paraId="38ADF1B5" w14:textId="794483C5" w:rsidR="003E0CCF" w:rsidRPr="003E0CCF" w:rsidRDefault="003E0CCF" w:rsidP="003E0CCF">
      <w:pPr>
        <w:divId w:val="1192693164"/>
      </w:pPr>
      <w:r w:rsidRPr="003E0CCF">
        <w:t>It is important to assess MMR vaccination status at every clinic visit and recall those who have previously refused MMR vaccine. MMR vaccine remains the most important tool for preventing measles and the current measles situation is an opportunity to restart conversations with patients about the importance of vaccination.</w:t>
      </w:r>
    </w:p>
    <w:p w14:paraId="24B427F4" w14:textId="2ACA4878" w:rsidR="00A231F0" w:rsidRDefault="003E0CCF" w:rsidP="003E0CCF">
      <w:pPr>
        <w:divId w:val="1192693164"/>
        <w:rPr>
          <w:rFonts w:eastAsia="Times New Roman"/>
        </w:rPr>
      </w:pPr>
      <w:r w:rsidRPr="003E0CCF">
        <w:t>Children should receive two doses of MMR vaccine</w:t>
      </w:r>
      <w:r>
        <w:t xml:space="preserve">—the first at 12 to 15 months of age and the </w:t>
      </w:r>
      <w:r w:rsidRPr="003E0CCF">
        <w:t>second at 4 to 6 years of age. For all ages, it is important to assess MMR status for patients traveling internationally or to an area domestically experiencing an outbreak, this includes Canada and Mexico. Children 6 to 12 months old can get an early dose of MMR vaccine if their travels will put them at high risk for measles</w:t>
      </w:r>
      <w:r w:rsidR="00A231F0" w:rsidRPr="003E0CCF">
        <w:t>:</w:t>
      </w:r>
      <w:r w:rsidR="00A231F0">
        <w:rPr>
          <w:rFonts w:eastAsia="Times New Roman"/>
        </w:rPr>
        <w:t> </w:t>
      </w:r>
      <w:hyperlink r:id="rId17" w:history="1">
        <w:r w:rsidR="00390F19" w:rsidRPr="00390F19">
          <w:rPr>
            <w:rStyle w:val="Hyperlink"/>
            <w:rFonts w:eastAsia="Times New Roman"/>
          </w:rPr>
          <w:t>CDC: Plan for Travel (www.cdc.gov/measles/travel/index.html)</w:t>
        </w:r>
      </w:hyperlink>
      <w:r w:rsidR="00A231F0" w:rsidRPr="166AC9DF">
        <w:rPr>
          <w:rFonts w:eastAsia="Times New Roman"/>
        </w:rPr>
        <w:t>.</w:t>
      </w:r>
      <w:r w:rsidR="00A231F0">
        <w:rPr>
          <w:rFonts w:eastAsia="Times New Roman"/>
        </w:rPr>
        <w:t xml:space="preserve"> </w:t>
      </w:r>
      <w:r w:rsidR="00617444" w:rsidRPr="00617444">
        <w:rPr>
          <w:rFonts w:eastAsia="Times New Roman"/>
        </w:rPr>
        <w:t>Children who get an early dose will need to restart the MMR series after 12 months of age. Follow state and local guidance in areas with ongoing community-wide transmission of measles</w:t>
      </w:r>
      <w:r w:rsidR="00617444">
        <w:rPr>
          <w:rFonts w:eastAsia="Times New Roman"/>
        </w:rPr>
        <w:t xml:space="preserve"> </w:t>
      </w:r>
      <w:hyperlink r:id="rId18">
        <w:r w:rsidR="00FE7A72">
          <w:rPr>
            <w:rStyle w:val="Hyperlink"/>
            <w:rFonts w:eastAsia="Times New Roman"/>
          </w:rPr>
          <w:t>(CDC: Measles Cases and Outbreaks [www.cdc.gov/measles/data-research/index.html]</w:t>
        </w:r>
      </w:hyperlink>
      <w:r w:rsidR="00A231F0" w:rsidRPr="166AC9DF">
        <w:rPr>
          <w:rFonts w:eastAsia="Times New Roman"/>
        </w:rPr>
        <w:t>)</w:t>
      </w:r>
      <w:r w:rsidR="00794725" w:rsidRPr="166AC9DF">
        <w:rPr>
          <w:rFonts w:eastAsia="Times New Roman"/>
        </w:rPr>
        <w:t>.</w:t>
      </w:r>
      <w:r w:rsidR="00A231F0" w:rsidRPr="166AC9DF">
        <w:rPr>
          <w:rFonts w:eastAsia="Times New Roman"/>
        </w:rPr>
        <w:t xml:space="preserve"> </w:t>
      </w:r>
    </w:p>
    <w:p w14:paraId="2E6D85F9" w14:textId="77777777" w:rsidR="00A231F0" w:rsidRDefault="00A231F0">
      <w:pPr>
        <w:pStyle w:val="Heading2"/>
        <w:divId w:val="1192693164"/>
        <w:rPr>
          <w:rFonts w:eastAsia="Times New Roman"/>
        </w:rPr>
      </w:pPr>
      <w:r>
        <w:rPr>
          <w:rFonts w:eastAsia="Times New Roman"/>
        </w:rPr>
        <w:t>For more information</w:t>
      </w:r>
    </w:p>
    <w:p w14:paraId="3AB95C20" w14:textId="40BC48D6" w:rsidR="00A231F0" w:rsidRDefault="00F306F0" w:rsidP="00A231F0">
      <w:pPr>
        <w:numPr>
          <w:ilvl w:val="0"/>
          <w:numId w:val="18"/>
        </w:numPr>
        <w:suppressAutoHyphens w:val="0"/>
        <w:spacing w:before="100" w:beforeAutospacing="1" w:after="100" w:afterAutospacing="1"/>
        <w:divId w:val="1192693164"/>
        <w:rPr>
          <w:rFonts w:eastAsia="Times New Roman"/>
        </w:rPr>
      </w:pPr>
      <w:hyperlink r:id="rId19" w:history="1">
        <w:r>
          <w:rPr>
            <w:rStyle w:val="Hyperlink"/>
            <w:rFonts w:eastAsia="Times New Roman"/>
          </w:rPr>
          <w:t>MDH: Measles Information for Health Professionals (www.health.state.mn.us/diseases/measles/hcp/index.html)</w:t>
        </w:r>
      </w:hyperlink>
      <w:r w:rsidR="00A231F0">
        <w:rPr>
          <w:rFonts w:eastAsia="Times New Roman"/>
        </w:rPr>
        <w:br/>
        <w:t xml:space="preserve">Additional information and provider palm cards on recognizing and reporting measles and links to other measles related materials and posters. </w:t>
      </w:r>
    </w:p>
    <w:p w14:paraId="74101A14" w14:textId="77777777" w:rsidR="00A231F0" w:rsidRDefault="00A231F0" w:rsidP="00A231F0">
      <w:pPr>
        <w:numPr>
          <w:ilvl w:val="0"/>
          <w:numId w:val="18"/>
        </w:numPr>
        <w:suppressAutoHyphens w:val="0"/>
        <w:spacing w:before="100" w:beforeAutospacing="1" w:after="100" w:afterAutospacing="1"/>
        <w:divId w:val="1192693164"/>
        <w:rPr>
          <w:rFonts w:eastAsia="Times New Roman"/>
        </w:rPr>
      </w:pPr>
      <w:hyperlink r:id="rId20" w:history="1">
        <w:r>
          <w:rPr>
            <w:rStyle w:val="Hyperlink"/>
            <w:rFonts w:eastAsia="Times New Roman"/>
          </w:rPr>
          <w:t xml:space="preserve">CDC: Plan for Travel (www.cdc.gov/measles/travel/index.html) </w:t>
        </w:r>
      </w:hyperlink>
    </w:p>
    <w:p w14:paraId="28C56508" w14:textId="77777777" w:rsidR="00A231F0" w:rsidRDefault="00A231F0" w:rsidP="00A231F0">
      <w:pPr>
        <w:numPr>
          <w:ilvl w:val="0"/>
          <w:numId w:val="18"/>
        </w:numPr>
        <w:suppressAutoHyphens w:val="0"/>
        <w:spacing w:before="100" w:beforeAutospacing="1" w:after="100" w:afterAutospacing="1"/>
        <w:divId w:val="1192693164"/>
        <w:rPr>
          <w:rFonts w:eastAsia="Times New Roman"/>
        </w:rPr>
      </w:pPr>
      <w:hyperlink r:id="rId21" w:history="1">
        <w:r>
          <w:rPr>
            <w:rStyle w:val="Hyperlink"/>
            <w:rFonts w:eastAsia="Times New Roman"/>
          </w:rPr>
          <w:t>CDC: Measles Cases and Outbreaks (www.cdc.gov/measles/data-research/index.html)</w:t>
        </w:r>
      </w:hyperlink>
    </w:p>
    <w:p w14:paraId="37C1AFCF" w14:textId="77777777" w:rsidR="00A231F0" w:rsidRDefault="00A231F0" w:rsidP="00A231F0">
      <w:pPr>
        <w:numPr>
          <w:ilvl w:val="0"/>
          <w:numId w:val="18"/>
        </w:numPr>
        <w:suppressAutoHyphens w:val="0"/>
        <w:spacing w:before="100" w:beforeAutospacing="1" w:after="100" w:afterAutospacing="1"/>
        <w:divId w:val="1192693164"/>
        <w:rPr>
          <w:rFonts w:eastAsia="Times New Roman"/>
        </w:rPr>
      </w:pPr>
      <w:hyperlink r:id="rId22" w:history="1">
        <w:r>
          <w:rPr>
            <w:rStyle w:val="Hyperlink"/>
            <w:rFonts w:eastAsia="Times New Roman"/>
          </w:rPr>
          <w:t>MDH: Using Client Follow-up in MIIC (www.health.state.mn.us/people/immunize/miic/train/followup.html)</w:t>
        </w:r>
      </w:hyperlink>
    </w:p>
    <w:p w14:paraId="1C82721E" w14:textId="2F14522D" w:rsidR="00A231F0" w:rsidRDefault="006C3946" w:rsidP="00A231F0">
      <w:pPr>
        <w:numPr>
          <w:ilvl w:val="0"/>
          <w:numId w:val="18"/>
        </w:numPr>
        <w:suppressAutoHyphens w:val="0"/>
        <w:spacing w:before="100" w:beforeAutospacing="1" w:after="100" w:afterAutospacing="1"/>
        <w:divId w:val="1192693164"/>
        <w:rPr>
          <w:rFonts w:eastAsia="Times New Roman"/>
        </w:rPr>
      </w:pPr>
      <w:hyperlink r:id="rId23" w:history="1">
        <w:r>
          <w:rPr>
            <w:rStyle w:val="Hyperlink"/>
            <w:rFonts w:eastAsia="Times New Roman"/>
          </w:rPr>
          <w:t>CDC: Healthcare Providers: Stay Alert for Measles Cases (www.cdc.gov/measles/hcp/clinical-overview/stay-alert-for-measles-cases.html)</w:t>
        </w:r>
      </w:hyperlink>
    </w:p>
    <w:p w14:paraId="08F1EF05" w14:textId="6BD76A5D" w:rsidR="00A231F0" w:rsidRPr="00A231F0" w:rsidRDefault="00937F8C" w:rsidP="00A231F0">
      <w:pPr>
        <w:divId w:val="1192693164"/>
      </w:pPr>
      <w:r>
        <w:t>A copy of this HAN is</w:t>
      </w:r>
      <w:r w:rsidRPr="00A231F0">
        <w:t xml:space="preserve"> available at </w:t>
      </w:r>
      <w:hyperlink r:id="rId24" w:history="1">
        <w:r w:rsidRPr="00383431">
          <w:rPr>
            <w:rStyle w:val="Hyperlink"/>
          </w:rPr>
          <w:t>MDH Health Alert Network (www.health.state.mn.us/han)</w:t>
        </w:r>
      </w:hyperlink>
      <w:r>
        <w:t>.</w:t>
      </w:r>
      <w:r w:rsidRPr="00A231F0">
        <w:br/>
      </w:r>
      <w:r w:rsidR="00A231F0" w:rsidRPr="00A231F0">
        <w:t>The content of this m</w:t>
      </w:r>
      <w:r w:rsidR="00A231F0">
        <w:t>essage is intended for public health and health care personnel and response partners who have a need to know the information to perform their duties.</w:t>
      </w:r>
    </w:p>
    <w:p w14:paraId="449F3340" w14:textId="77777777" w:rsidR="00CC4911" w:rsidRPr="00E50BB1" w:rsidRDefault="00CC4911" w:rsidP="00E50BB1"/>
    <w:sectPr w:rsidR="00CC4911" w:rsidRPr="00E50BB1" w:rsidSect="00F61439">
      <w:headerReference w:type="default" r:id="rId25"/>
      <w:footerReference w:type="default" r:id="rId26"/>
      <w:footerReference w:type="first" r:id="rId2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0F45" w14:textId="77777777" w:rsidR="00657357" w:rsidRDefault="00657357" w:rsidP="00D36495">
      <w:r>
        <w:separator/>
      </w:r>
    </w:p>
  </w:endnote>
  <w:endnote w:type="continuationSeparator" w:id="0">
    <w:p w14:paraId="484270C3" w14:textId="77777777" w:rsidR="00657357" w:rsidRDefault="00657357" w:rsidP="00D36495">
      <w:r>
        <w:continuationSeparator/>
      </w:r>
    </w:p>
  </w:endnote>
  <w:endnote w:type="continuationNotice" w:id="1">
    <w:p w14:paraId="0E7CFB56" w14:textId="77777777" w:rsidR="00657357" w:rsidRDefault="006573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353500"/>
      <w:docPartObj>
        <w:docPartGallery w:val="Page Numbers (Bottom of Page)"/>
        <w:docPartUnique/>
      </w:docPartObj>
    </w:sdtPr>
    <w:sdtEndPr/>
    <w:sdtContent>
      <w:p w14:paraId="56354572"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67B87250"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AA3C" w14:textId="77777777" w:rsidR="00657357" w:rsidRDefault="00657357" w:rsidP="00D36495">
      <w:r>
        <w:separator/>
      </w:r>
    </w:p>
  </w:footnote>
  <w:footnote w:type="continuationSeparator" w:id="0">
    <w:p w14:paraId="0246F81A" w14:textId="77777777" w:rsidR="00657357" w:rsidRDefault="00657357" w:rsidP="00D36495">
      <w:r>
        <w:continuationSeparator/>
      </w:r>
    </w:p>
  </w:footnote>
  <w:footnote w:type="continuationNotice" w:id="1">
    <w:p w14:paraId="1DF9DB04" w14:textId="77777777" w:rsidR="00657357" w:rsidRDefault="0065735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C4A7" w14:textId="021557F1" w:rsidR="00782710" w:rsidRPr="003E01B5" w:rsidRDefault="003E01B5" w:rsidP="003E01B5">
    <w:pPr>
      <w:pStyle w:val="Header"/>
    </w:pPr>
    <w:r w:rsidRPr="003E01B5">
      <w:t>Health Advisory: Measles Cases in Twin Cities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46A60A7"/>
    <w:multiLevelType w:val="multilevel"/>
    <w:tmpl w:val="7BCC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F675027"/>
    <w:multiLevelType w:val="multilevel"/>
    <w:tmpl w:val="40C2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657109622">
    <w:abstractNumId w:val="5"/>
  </w:num>
  <w:num w:numId="2" w16cid:durableId="353575410">
    <w:abstractNumId w:val="1"/>
  </w:num>
  <w:num w:numId="3" w16cid:durableId="1583177595">
    <w:abstractNumId w:val="12"/>
  </w:num>
  <w:num w:numId="4" w16cid:durableId="1894580559">
    <w:abstractNumId w:val="17"/>
  </w:num>
  <w:num w:numId="5" w16cid:durableId="364914241">
    <w:abstractNumId w:val="9"/>
  </w:num>
  <w:num w:numId="6" w16cid:durableId="348677642">
    <w:abstractNumId w:val="8"/>
  </w:num>
  <w:num w:numId="7" w16cid:durableId="1402018261">
    <w:abstractNumId w:val="11"/>
  </w:num>
  <w:num w:numId="8" w16cid:durableId="779298314">
    <w:abstractNumId w:val="10"/>
  </w:num>
  <w:num w:numId="9" w16cid:durableId="477917050">
    <w:abstractNumId w:val="16"/>
  </w:num>
  <w:num w:numId="10" w16cid:durableId="221992193">
    <w:abstractNumId w:val="14"/>
  </w:num>
  <w:num w:numId="11" w16cid:durableId="1886481787">
    <w:abstractNumId w:val="4"/>
  </w:num>
  <w:num w:numId="12" w16cid:durableId="1902402312">
    <w:abstractNumId w:val="0"/>
  </w:num>
  <w:num w:numId="13" w16cid:durableId="148862699">
    <w:abstractNumId w:val="7"/>
  </w:num>
  <w:num w:numId="14" w16cid:durableId="1823891872">
    <w:abstractNumId w:val="6"/>
  </w:num>
  <w:num w:numId="15" w16cid:durableId="965962657">
    <w:abstractNumId w:val="3"/>
  </w:num>
  <w:num w:numId="16" w16cid:durableId="1245190236">
    <w:abstractNumId w:val="2"/>
  </w:num>
  <w:num w:numId="17" w16cid:durableId="2005470811">
    <w:abstractNumId w:val="13"/>
  </w:num>
  <w:num w:numId="18" w16cid:durableId="65525690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F0"/>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386E"/>
    <w:rsid w:val="00024A86"/>
    <w:rsid w:val="00025C98"/>
    <w:rsid w:val="000267D5"/>
    <w:rsid w:val="00026A10"/>
    <w:rsid w:val="00026E3D"/>
    <w:rsid w:val="000273D5"/>
    <w:rsid w:val="00027C37"/>
    <w:rsid w:val="00030196"/>
    <w:rsid w:val="00031F02"/>
    <w:rsid w:val="00032320"/>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48"/>
    <w:rsid w:val="00093EC5"/>
    <w:rsid w:val="00093F5A"/>
    <w:rsid w:val="00094E86"/>
    <w:rsid w:val="00095135"/>
    <w:rsid w:val="000966CC"/>
    <w:rsid w:val="00096F26"/>
    <w:rsid w:val="00097DA4"/>
    <w:rsid w:val="000A1B6D"/>
    <w:rsid w:val="000A1C49"/>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5F0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04C2"/>
    <w:rsid w:val="001112D6"/>
    <w:rsid w:val="0011130C"/>
    <w:rsid w:val="00112490"/>
    <w:rsid w:val="001127AB"/>
    <w:rsid w:val="00112B06"/>
    <w:rsid w:val="00113C69"/>
    <w:rsid w:val="00113F82"/>
    <w:rsid w:val="0011684D"/>
    <w:rsid w:val="001168EF"/>
    <w:rsid w:val="00116EFC"/>
    <w:rsid w:val="00117A89"/>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09E"/>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0AC4"/>
    <w:rsid w:val="00161430"/>
    <w:rsid w:val="001619DA"/>
    <w:rsid w:val="0016292B"/>
    <w:rsid w:val="00163482"/>
    <w:rsid w:val="00163E0D"/>
    <w:rsid w:val="00164630"/>
    <w:rsid w:val="001652EF"/>
    <w:rsid w:val="00166394"/>
    <w:rsid w:val="00166451"/>
    <w:rsid w:val="001666BE"/>
    <w:rsid w:val="00166B0F"/>
    <w:rsid w:val="00166EC6"/>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3CC0"/>
    <w:rsid w:val="001941DC"/>
    <w:rsid w:val="0019499A"/>
    <w:rsid w:val="00194CEB"/>
    <w:rsid w:val="0019552D"/>
    <w:rsid w:val="00195CC6"/>
    <w:rsid w:val="001976C0"/>
    <w:rsid w:val="00197D68"/>
    <w:rsid w:val="001A0025"/>
    <w:rsid w:val="001A0378"/>
    <w:rsid w:val="001A03A3"/>
    <w:rsid w:val="001A0E75"/>
    <w:rsid w:val="001A10A6"/>
    <w:rsid w:val="001A1F13"/>
    <w:rsid w:val="001A20E1"/>
    <w:rsid w:val="001A28E8"/>
    <w:rsid w:val="001A3E76"/>
    <w:rsid w:val="001A4417"/>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1EDC"/>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38E4"/>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07C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39"/>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6F16"/>
    <w:rsid w:val="00237849"/>
    <w:rsid w:val="00237E60"/>
    <w:rsid w:val="00237FD1"/>
    <w:rsid w:val="00240140"/>
    <w:rsid w:val="00240188"/>
    <w:rsid w:val="00240704"/>
    <w:rsid w:val="002407CA"/>
    <w:rsid w:val="0024137A"/>
    <w:rsid w:val="00242F4A"/>
    <w:rsid w:val="00243143"/>
    <w:rsid w:val="002431C3"/>
    <w:rsid w:val="0024353D"/>
    <w:rsid w:val="002436B2"/>
    <w:rsid w:val="002447C6"/>
    <w:rsid w:val="00245995"/>
    <w:rsid w:val="00246167"/>
    <w:rsid w:val="00246DCD"/>
    <w:rsid w:val="0024745B"/>
    <w:rsid w:val="002537D9"/>
    <w:rsid w:val="002546E7"/>
    <w:rsid w:val="002551A7"/>
    <w:rsid w:val="00255249"/>
    <w:rsid w:val="00255570"/>
    <w:rsid w:val="00260412"/>
    <w:rsid w:val="002608BD"/>
    <w:rsid w:val="002624DF"/>
    <w:rsid w:val="00262A64"/>
    <w:rsid w:val="00262E07"/>
    <w:rsid w:val="002635DB"/>
    <w:rsid w:val="0026364A"/>
    <w:rsid w:val="00263D16"/>
    <w:rsid w:val="00264B2D"/>
    <w:rsid w:val="00265256"/>
    <w:rsid w:val="0026529E"/>
    <w:rsid w:val="00265425"/>
    <w:rsid w:val="002654DD"/>
    <w:rsid w:val="00265740"/>
    <w:rsid w:val="00266C04"/>
    <w:rsid w:val="00266F30"/>
    <w:rsid w:val="00267C61"/>
    <w:rsid w:val="00270031"/>
    <w:rsid w:val="002704F1"/>
    <w:rsid w:val="00271DDA"/>
    <w:rsid w:val="002726CA"/>
    <w:rsid w:val="00272CE5"/>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5219"/>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0D9"/>
    <w:rsid w:val="002A64DB"/>
    <w:rsid w:val="002A6544"/>
    <w:rsid w:val="002A690C"/>
    <w:rsid w:val="002A6CDE"/>
    <w:rsid w:val="002A7C0F"/>
    <w:rsid w:val="002B050A"/>
    <w:rsid w:val="002B2E79"/>
    <w:rsid w:val="002B2F53"/>
    <w:rsid w:val="002B2F62"/>
    <w:rsid w:val="002B3745"/>
    <w:rsid w:val="002B3A57"/>
    <w:rsid w:val="002B3C7A"/>
    <w:rsid w:val="002B423A"/>
    <w:rsid w:val="002B4BA5"/>
    <w:rsid w:val="002B52AB"/>
    <w:rsid w:val="002B566A"/>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0E97"/>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636C"/>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6B5"/>
    <w:rsid w:val="003259D3"/>
    <w:rsid w:val="00326366"/>
    <w:rsid w:val="0032678F"/>
    <w:rsid w:val="00326A9F"/>
    <w:rsid w:val="00326ED3"/>
    <w:rsid w:val="003276B8"/>
    <w:rsid w:val="00327BFD"/>
    <w:rsid w:val="0033012B"/>
    <w:rsid w:val="003301F2"/>
    <w:rsid w:val="00330205"/>
    <w:rsid w:val="0033037A"/>
    <w:rsid w:val="003306DD"/>
    <w:rsid w:val="003308BF"/>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4A5"/>
    <w:rsid w:val="00355A0E"/>
    <w:rsid w:val="00355BA0"/>
    <w:rsid w:val="00355ED9"/>
    <w:rsid w:val="003560CE"/>
    <w:rsid w:val="00356DDF"/>
    <w:rsid w:val="003575C3"/>
    <w:rsid w:val="003577CB"/>
    <w:rsid w:val="003623E9"/>
    <w:rsid w:val="00362C76"/>
    <w:rsid w:val="0036477D"/>
    <w:rsid w:val="00364DCD"/>
    <w:rsid w:val="003652F6"/>
    <w:rsid w:val="00365565"/>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02D"/>
    <w:rsid w:val="003806B9"/>
    <w:rsid w:val="00381172"/>
    <w:rsid w:val="003817AE"/>
    <w:rsid w:val="00382C89"/>
    <w:rsid w:val="003839DA"/>
    <w:rsid w:val="003842CE"/>
    <w:rsid w:val="0038443E"/>
    <w:rsid w:val="003850E1"/>
    <w:rsid w:val="003857F8"/>
    <w:rsid w:val="00385CF0"/>
    <w:rsid w:val="00385F7C"/>
    <w:rsid w:val="003860D2"/>
    <w:rsid w:val="00387470"/>
    <w:rsid w:val="00387AC5"/>
    <w:rsid w:val="00390391"/>
    <w:rsid w:val="0039086C"/>
    <w:rsid w:val="00390F19"/>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1B5"/>
    <w:rsid w:val="003E025D"/>
    <w:rsid w:val="003E086B"/>
    <w:rsid w:val="003E0A72"/>
    <w:rsid w:val="003E0CCF"/>
    <w:rsid w:val="003E11C3"/>
    <w:rsid w:val="003E1482"/>
    <w:rsid w:val="003E170C"/>
    <w:rsid w:val="003E183F"/>
    <w:rsid w:val="003E1B1D"/>
    <w:rsid w:val="003E1E97"/>
    <w:rsid w:val="003E2017"/>
    <w:rsid w:val="003E33FE"/>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21AA"/>
    <w:rsid w:val="00403720"/>
    <w:rsid w:val="00403E21"/>
    <w:rsid w:val="00404073"/>
    <w:rsid w:val="00404803"/>
    <w:rsid w:val="00404A1D"/>
    <w:rsid w:val="00404F85"/>
    <w:rsid w:val="00405658"/>
    <w:rsid w:val="00405A6F"/>
    <w:rsid w:val="00406DE8"/>
    <w:rsid w:val="004074C2"/>
    <w:rsid w:val="00407A37"/>
    <w:rsid w:val="004103E1"/>
    <w:rsid w:val="00412215"/>
    <w:rsid w:val="00412567"/>
    <w:rsid w:val="0041287A"/>
    <w:rsid w:val="00412E9B"/>
    <w:rsid w:val="00414738"/>
    <w:rsid w:val="00414B25"/>
    <w:rsid w:val="00415647"/>
    <w:rsid w:val="00415E16"/>
    <w:rsid w:val="00415FC0"/>
    <w:rsid w:val="00417B05"/>
    <w:rsid w:val="00417BF2"/>
    <w:rsid w:val="00417E47"/>
    <w:rsid w:val="00420328"/>
    <w:rsid w:val="00420C70"/>
    <w:rsid w:val="00421536"/>
    <w:rsid w:val="00421DFC"/>
    <w:rsid w:val="00422C89"/>
    <w:rsid w:val="0042307F"/>
    <w:rsid w:val="0042356E"/>
    <w:rsid w:val="004241E4"/>
    <w:rsid w:val="004243C5"/>
    <w:rsid w:val="0042440A"/>
    <w:rsid w:val="00424B0D"/>
    <w:rsid w:val="00424FD6"/>
    <w:rsid w:val="00425517"/>
    <w:rsid w:val="00425713"/>
    <w:rsid w:val="00425748"/>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465B"/>
    <w:rsid w:val="00444A62"/>
    <w:rsid w:val="00445B5F"/>
    <w:rsid w:val="0044794C"/>
    <w:rsid w:val="00450878"/>
    <w:rsid w:val="0045153C"/>
    <w:rsid w:val="00451B82"/>
    <w:rsid w:val="00452D38"/>
    <w:rsid w:val="004533CB"/>
    <w:rsid w:val="0045353A"/>
    <w:rsid w:val="004535FC"/>
    <w:rsid w:val="00453829"/>
    <w:rsid w:val="00453E57"/>
    <w:rsid w:val="004540CD"/>
    <w:rsid w:val="004546F8"/>
    <w:rsid w:val="00455A21"/>
    <w:rsid w:val="004560B0"/>
    <w:rsid w:val="00457FA9"/>
    <w:rsid w:val="00460AD4"/>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0F52"/>
    <w:rsid w:val="004A0F5C"/>
    <w:rsid w:val="004A29A1"/>
    <w:rsid w:val="004A42F1"/>
    <w:rsid w:val="004A446E"/>
    <w:rsid w:val="004A4BD5"/>
    <w:rsid w:val="004A5CB4"/>
    <w:rsid w:val="004A60EC"/>
    <w:rsid w:val="004A6C2A"/>
    <w:rsid w:val="004B0B5F"/>
    <w:rsid w:val="004B0BF4"/>
    <w:rsid w:val="004B0FF2"/>
    <w:rsid w:val="004B10DC"/>
    <w:rsid w:val="004B1291"/>
    <w:rsid w:val="004B134E"/>
    <w:rsid w:val="004B1843"/>
    <w:rsid w:val="004B1B03"/>
    <w:rsid w:val="004B38EA"/>
    <w:rsid w:val="004B3F20"/>
    <w:rsid w:val="004B418B"/>
    <w:rsid w:val="004B4344"/>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2935"/>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042"/>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4AB5"/>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1F7B"/>
    <w:rsid w:val="005A3504"/>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9AB"/>
    <w:rsid w:val="005B2A68"/>
    <w:rsid w:val="005B2B75"/>
    <w:rsid w:val="005B2CE0"/>
    <w:rsid w:val="005B327E"/>
    <w:rsid w:val="005B389B"/>
    <w:rsid w:val="005B3951"/>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658F"/>
    <w:rsid w:val="005D6C94"/>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046F"/>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44"/>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157C"/>
    <w:rsid w:val="00632800"/>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4E90"/>
    <w:rsid w:val="00656470"/>
    <w:rsid w:val="00657357"/>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0B7E"/>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1A36"/>
    <w:rsid w:val="006C220B"/>
    <w:rsid w:val="006C2A38"/>
    <w:rsid w:val="006C2A3A"/>
    <w:rsid w:val="006C2E36"/>
    <w:rsid w:val="006C2EE0"/>
    <w:rsid w:val="006C376A"/>
    <w:rsid w:val="006C3946"/>
    <w:rsid w:val="006C3E80"/>
    <w:rsid w:val="006C43F7"/>
    <w:rsid w:val="006C450F"/>
    <w:rsid w:val="006C4B57"/>
    <w:rsid w:val="006C4D5F"/>
    <w:rsid w:val="006C52B7"/>
    <w:rsid w:val="006C5A89"/>
    <w:rsid w:val="006C6A53"/>
    <w:rsid w:val="006C74B7"/>
    <w:rsid w:val="006C7588"/>
    <w:rsid w:val="006D0794"/>
    <w:rsid w:val="006D0A93"/>
    <w:rsid w:val="006D1235"/>
    <w:rsid w:val="006D12CD"/>
    <w:rsid w:val="006D248C"/>
    <w:rsid w:val="006D2D2A"/>
    <w:rsid w:val="006D351E"/>
    <w:rsid w:val="006D36BF"/>
    <w:rsid w:val="006D3D2D"/>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5E4B"/>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21CC"/>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C80"/>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8AC"/>
    <w:rsid w:val="00786C4B"/>
    <w:rsid w:val="00786CE7"/>
    <w:rsid w:val="00787F88"/>
    <w:rsid w:val="00787FC2"/>
    <w:rsid w:val="007903B7"/>
    <w:rsid w:val="007904B0"/>
    <w:rsid w:val="007907F9"/>
    <w:rsid w:val="00790E85"/>
    <w:rsid w:val="007916A8"/>
    <w:rsid w:val="00791704"/>
    <w:rsid w:val="00791E1D"/>
    <w:rsid w:val="00791F0C"/>
    <w:rsid w:val="007926EA"/>
    <w:rsid w:val="00794725"/>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4E95"/>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20A"/>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05A"/>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3AD"/>
    <w:rsid w:val="0083188D"/>
    <w:rsid w:val="00834ACA"/>
    <w:rsid w:val="00836BB7"/>
    <w:rsid w:val="008377E6"/>
    <w:rsid w:val="0084061F"/>
    <w:rsid w:val="00843E84"/>
    <w:rsid w:val="00844445"/>
    <w:rsid w:val="008445DD"/>
    <w:rsid w:val="008450E3"/>
    <w:rsid w:val="0084516F"/>
    <w:rsid w:val="0084760B"/>
    <w:rsid w:val="008478BE"/>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42DC"/>
    <w:rsid w:val="00865BA5"/>
    <w:rsid w:val="0086607A"/>
    <w:rsid w:val="008676D6"/>
    <w:rsid w:val="0087023D"/>
    <w:rsid w:val="00870503"/>
    <w:rsid w:val="00871BAB"/>
    <w:rsid w:val="00872724"/>
    <w:rsid w:val="00872FA3"/>
    <w:rsid w:val="0087364C"/>
    <w:rsid w:val="00873C2B"/>
    <w:rsid w:val="00874B46"/>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480"/>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A73B0"/>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6A42"/>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37F8C"/>
    <w:rsid w:val="00940331"/>
    <w:rsid w:val="00940A68"/>
    <w:rsid w:val="00941F01"/>
    <w:rsid w:val="0094220E"/>
    <w:rsid w:val="00942355"/>
    <w:rsid w:val="0094241B"/>
    <w:rsid w:val="00942528"/>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3EAE"/>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108"/>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A86"/>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1FD0"/>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2EA0"/>
    <w:rsid w:val="009C3752"/>
    <w:rsid w:val="009C5055"/>
    <w:rsid w:val="009C52F7"/>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5F96"/>
    <w:rsid w:val="009D6150"/>
    <w:rsid w:val="009D6516"/>
    <w:rsid w:val="009D783A"/>
    <w:rsid w:val="009E1535"/>
    <w:rsid w:val="009E23ED"/>
    <w:rsid w:val="009E415E"/>
    <w:rsid w:val="009E4C3F"/>
    <w:rsid w:val="009E51F7"/>
    <w:rsid w:val="009E5266"/>
    <w:rsid w:val="009E5C88"/>
    <w:rsid w:val="009E68CE"/>
    <w:rsid w:val="009E73E5"/>
    <w:rsid w:val="009E7B01"/>
    <w:rsid w:val="009F07D0"/>
    <w:rsid w:val="009F09CF"/>
    <w:rsid w:val="009F1425"/>
    <w:rsid w:val="009F18AC"/>
    <w:rsid w:val="009F32C2"/>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355"/>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31F0"/>
    <w:rsid w:val="00A255AD"/>
    <w:rsid w:val="00A25FA7"/>
    <w:rsid w:val="00A263AD"/>
    <w:rsid w:val="00A2647B"/>
    <w:rsid w:val="00A27516"/>
    <w:rsid w:val="00A27624"/>
    <w:rsid w:val="00A313E1"/>
    <w:rsid w:val="00A3148A"/>
    <w:rsid w:val="00A3191B"/>
    <w:rsid w:val="00A32113"/>
    <w:rsid w:val="00A32441"/>
    <w:rsid w:val="00A32A11"/>
    <w:rsid w:val="00A33A00"/>
    <w:rsid w:val="00A33F64"/>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32E"/>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4A78"/>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8E3"/>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D2E"/>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5E59"/>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03D"/>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2CE"/>
    <w:rsid w:val="00C45326"/>
    <w:rsid w:val="00C46952"/>
    <w:rsid w:val="00C46B6A"/>
    <w:rsid w:val="00C505B5"/>
    <w:rsid w:val="00C50D28"/>
    <w:rsid w:val="00C51144"/>
    <w:rsid w:val="00C51F0B"/>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B14"/>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05"/>
    <w:rsid w:val="00C74615"/>
    <w:rsid w:val="00C74A0E"/>
    <w:rsid w:val="00C75E81"/>
    <w:rsid w:val="00C76478"/>
    <w:rsid w:val="00C766C4"/>
    <w:rsid w:val="00C76909"/>
    <w:rsid w:val="00C8047D"/>
    <w:rsid w:val="00C804E8"/>
    <w:rsid w:val="00C829EA"/>
    <w:rsid w:val="00C82BD2"/>
    <w:rsid w:val="00C82E4A"/>
    <w:rsid w:val="00C8404F"/>
    <w:rsid w:val="00C8410E"/>
    <w:rsid w:val="00C84366"/>
    <w:rsid w:val="00C851B6"/>
    <w:rsid w:val="00C852D9"/>
    <w:rsid w:val="00C8552F"/>
    <w:rsid w:val="00C85ADD"/>
    <w:rsid w:val="00C85DD3"/>
    <w:rsid w:val="00C875F8"/>
    <w:rsid w:val="00C87C8A"/>
    <w:rsid w:val="00C87F2B"/>
    <w:rsid w:val="00C903CF"/>
    <w:rsid w:val="00C911B6"/>
    <w:rsid w:val="00C9171A"/>
    <w:rsid w:val="00C918C6"/>
    <w:rsid w:val="00C91B56"/>
    <w:rsid w:val="00C920B7"/>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1285"/>
    <w:rsid w:val="00CD2498"/>
    <w:rsid w:val="00CD36FD"/>
    <w:rsid w:val="00CD3810"/>
    <w:rsid w:val="00CD46CA"/>
    <w:rsid w:val="00CD7BBE"/>
    <w:rsid w:val="00CE003B"/>
    <w:rsid w:val="00CE00F5"/>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40EE"/>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1F3"/>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5596"/>
    <w:rsid w:val="00D8639F"/>
    <w:rsid w:val="00D86627"/>
    <w:rsid w:val="00D871C1"/>
    <w:rsid w:val="00D87A42"/>
    <w:rsid w:val="00D87AB1"/>
    <w:rsid w:val="00D90872"/>
    <w:rsid w:val="00D91949"/>
    <w:rsid w:val="00D91AF3"/>
    <w:rsid w:val="00D9465C"/>
    <w:rsid w:val="00D94BF6"/>
    <w:rsid w:val="00D950FA"/>
    <w:rsid w:val="00D957B7"/>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07B"/>
    <w:rsid w:val="00DA77CA"/>
    <w:rsid w:val="00DB1054"/>
    <w:rsid w:val="00DB297D"/>
    <w:rsid w:val="00DB2C55"/>
    <w:rsid w:val="00DB3143"/>
    <w:rsid w:val="00DB4544"/>
    <w:rsid w:val="00DB47A5"/>
    <w:rsid w:val="00DB4928"/>
    <w:rsid w:val="00DB4954"/>
    <w:rsid w:val="00DB5F40"/>
    <w:rsid w:val="00DB6910"/>
    <w:rsid w:val="00DB7136"/>
    <w:rsid w:val="00DB74B6"/>
    <w:rsid w:val="00DB74FE"/>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611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22F"/>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A"/>
    <w:rsid w:val="00E36C8C"/>
    <w:rsid w:val="00E3769D"/>
    <w:rsid w:val="00E37B1D"/>
    <w:rsid w:val="00E37BD9"/>
    <w:rsid w:val="00E417AF"/>
    <w:rsid w:val="00E41AA4"/>
    <w:rsid w:val="00E422F9"/>
    <w:rsid w:val="00E43258"/>
    <w:rsid w:val="00E43E24"/>
    <w:rsid w:val="00E476A3"/>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673B6"/>
    <w:rsid w:val="00E704CC"/>
    <w:rsid w:val="00E70696"/>
    <w:rsid w:val="00E71CA5"/>
    <w:rsid w:val="00E72F0E"/>
    <w:rsid w:val="00E73490"/>
    <w:rsid w:val="00E73571"/>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3F7"/>
    <w:rsid w:val="00EA1DAB"/>
    <w:rsid w:val="00EA1DDA"/>
    <w:rsid w:val="00EA20C2"/>
    <w:rsid w:val="00EA276B"/>
    <w:rsid w:val="00EA353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53C6"/>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6F0"/>
    <w:rsid w:val="00F309AB"/>
    <w:rsid w:val="00F30C1D"/>
    <w:rsid w:val="00F30D42"/>
    <w:rsid w:val="00F32717"/>
    <w:rsid w:val="00F327D0"/>
    <w:rsid w:val="00F332E6"/>
    <w:rsid w:val="00F33691"/>
    <w:rsid w:val="00F35AE2"/>
    <w:rsid w:val="00F36151"/>
    <w:rsid w:val="00F36415"/>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2F7"/>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E7A72"/>
    <w:rsid w:val="00FF0899"/>
    <w:rsid w:val="00FF1B86"/>
    <w:rsid w:val="00FF21D6"/>
    <w:rsid w:val="00FF21EA"/>
    <w:rsid w:val="00FF27ED"/>
    <w:rsid w:val="00FF2AEC"/>
    <w:rsid w:val="00FF2CFC"/>
    <w:rsid w:val="00FF3413"/>
    <w:rsid w:val="00FF42F3"/>
    <w:rsid w:val="00FF45C1"/>
    <w:rsid w:val="00FF48D2"/>
    <w:rsid w:val="00FF51FE"/>
    <w:rsid w:val="00FF5583"/>
    <w:rsid w:val="00FF595D"/>
    <w:rsid w:val="00FF5A77"/>
    <w:rsid w:val="00FF648D"/>
    <w:rsid w:val="00FF6FC2"/>
    <w:rsid w:val="00FF76E9"/>
    <w:rsid w:val="00FF77F4"/>
    <w:rsid w:val="02E1F1EC"/>
    <w:rsid w:val="0737F958"/>
    <w:rsid w:val="08A343E7"/>
    <w:rsid w:val="0B15457D"/>
    <w:rsid w:val="121CFD29"/>
    <w:rsid w:val="1421B35C"/>
    <w:rsid w:val="166AC9DF"/>
    <w:rsid w:val="1A55B5AF"/>
    <w:rsid w:val="1B9E0BCA"/>
    <w:rsid w:val="1CD6F2DE"/>
    <w:rsid w:val="20C00E2B"/>
    <w:rsid w:val="26ED5DE8"/>
    <w:rsid w:val="2CE8D4B0"/>
    <w:rsid w:val="2DD5379E"/>
    <w:rsid w:val="2DEB4D71"/>
    <w:rsid w:val="2EAE0E05"/>
    <w:rsid w:val="301E6853"/>
    <w:rsid w:val="31B7C3FC"/>
    <w:rsid w:val="33A37771"/>
    <w:rsid w:val="3A503BA3"/>
    <w:rsid w:val="3D7534BD"/>
    <w:rsid w:val="3DB8A3B3"/>
    <w:rsid w:val="3FB452E8"/>
    <w:rsid w:val="402CD2CD"/>
    <w:rsid w:val="41B5636B"/>
    <w:rsid w:val="41F0BDF3"/>
    <w:rsid w:val="46D80F32"/>
    <w:rsid w:val="46DE0E5F"/>
    <w:rsid w:val="4BD31856"/>
    <w:rsid w:val="4C54336E"/>
    <w:rsid w:val="50917C3A"/>
    <w:rsid w:val="50AAF943"/>
    <w:rsid w:val="51FCD06B"/>
    <w:rsid w:val="53D391E4"/>
    <w:rsid w:val="550CAD48"/>
    <w:rsid w:val="564FFD40"/>
    <w:rsid w:val="57070FAB"/>
    <w:rsid w:val="578560CF"/>
    <w:rsid w:val="59EA1844"/>
    <w:rsid w:val="5BCB9456"/>
    <w:rsid w:val="5BFB89B8"/>
    <w:rsid w:val="5DA422F6"/>
    <w:rsid w:val="6195337E"/>
    <w:rsid w:val="63840094"/>
    <w:rsid w:val="64ACCF29"/>
    <w:rsid w:val="66BFA0FD"/>
    <w:rsid w:val="676C1538"/>
    <w:rsid w:val="68C09C69"/>
    <w:rsid w:val="69E57BF0"/>
    <w:rsid w:val="6BDFBBDD"/>
    <w:rsid w:val="6E0B1980"/>
    <w:rsid w:val="6F114E3B"/>
    <w:rsid w:val="7139B310"/>
    <w:rsid w:val="7388EC3D"/>
    <w:rsid w:val="7918D9C9"/>
    <w:rsid w:val="79773AF2"/>
    <w:rsid w:val="7BD3EDC1"/>
    <w:rsid w:val="7CCA08F6"/>
    <w:rsid w:val="7FAFC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27838"/>
  <w15:docId w15:val="{2D759E31-5518-4613-855F-B02CA5F0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231F0"/>
    <w:pPr>
      <w:suppressAutoHyphens w:val="0"/>
      <w:spacing w:before="100" w:beforeAutospacing="1" w:after="100" w:afterAutospacing="1"/>
    </w:pPr>
    <w:rPr>
      <w:rFonts w:ascii="Times New Roman" w:hAnsi="Times New Roman" w:cs="Times New Roman"/>
      <w:szCs w:val="24"/>
    </w:rPr>
  </w:style>
  <w:style w:type="paragraph" w:styleId="CommentText">
    <w:name w:val="annotation text"/>
    <w:basedOn w:val="Normal"/>
    <w:link w:val="CommentTextChar"/>
    <w:semiHidden/>
    <w:unhideWhenUsed/>
    <w:locked/>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basedOn w:val="DefaultParagraphFont"/>
    <w:semiHidden/>
    <w:unhideWhenUsed/>
    <w:locked/>
    <w:rPr>
      <w:sz w:val="16"/>
      <w:szCs w:val="16"/>
    </w:rPr>
  </w:style>
  <w:style w:type="paragraph" w:styleId="Revision">
    <w:name w:val="Revision"/>
    <w:hidden/>
    <w:uiPriority w:val="99"/>
    <w:semiHidden/>
    <w:rsid w:val="002D0E97"/>
    <w:pPr>
      <w:spacing w:before="0" w:after="0"/>
    </w:pPr>
    <w:rPr>
      <w:sz w:val="24"/>
    </w:rPr>
  </w:style>
  <w:style w:type="character" w:styleId="UnresolvedMention">
    <w:name w:val="Unresolved Mention"/>
    <w:basedOn w:val="DefaultParagraphFont"/>
    <w:uiPriority w:val="99"/>
    <w:semiHidden/>
    <w:unhideWhenUsed/>
    <w:rsid w:val="0086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192693164">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measles/hcp/labtesting.html" TargetMode="External"/><Relationship Id="rId18" Type="http://schemas.openxmlformats.org/officeDocument/2006/relationships/hyperlink" Target="https://www.cdc.gov/measles/data-research/index.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c.gov/measles/data-research/index.html" TargetMode="External"/><Relationship Id="rId7" Type="http://schemas.openxmlformats.org/officeDocument/2006/relationships/settings" Target="settings.xml"/><Relationship Id="rId12" Type="http://schemas.openxmlformats.org/officeDocument/2006/relationships/hyperlink" Target="https://www.health.state.mn.us/diseases/measles/hcp/minimize.html" TargetMode="External"/><Relationship Id="rId17" Type="http://schemas.openxmlformats.org/officeDocument/2006/relationships/hyperlink" Target="https://www.cdc.gov/measles/travel/index.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measles/data-research/" TargetMode="External"/><Relationship Id="rId20" Type="http://schemas.openxmlformats.org/officeDocument/2006/relationships/hyperlink" Target="https://www.cdc.gov/measles/travel/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health.state.mn.us/han" TargetMode="External"/><Relationship Id="rId5" Type="http://schemas.openxmlformats.org/officeDocument/2006/relationships/numbering" Target="numbering.xml"/><Relationship Id="rId15" Type="http://schemas.openxmlformats.org/officeDocument/2006/relationships/hyperlink" Target="mailto:health.miichelp@state.mn.us" TargetMode="External"/><Relationship Id="rId23" Type="http://schemas.openxmlformats.org/officeDocument/2006/relationships/hyperlink" Target="https://www.cdc.gov/measles/hcp/clinical-overview/stay-alert-for-measles-case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state.mn.us/diseases/measles/hcp/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measles/hcp/vaccine-considerations/index.html" TargetMode="External"/><Relationship Id="rId22" Type="http://schemas.openxmlformats.org/officeDocument/2006/relationships/hyperlink" Target="https://www.health.state.mn.us/people/immunize/miic/train/followup.html"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ec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3E33DFF910D439AC224F8D124280A" ma:contentTypeVersion="17" ma:contentTypeDescription="Create a new document." ma:contentTypeScope="" ma:versionID="c5f296afd2f11fa979bd15105208374f">
  <xsd:schema xmlns:xsd="http://www.w3.org/2001/XMLSchema" xmlns:xs="http://www.w3.org/2001/XMLSchema" xmlns:p="http://schemas.microsoft.com/office/2006/metadata/properties" xmlns:ns2="c2b686cc-bb53-46ec-b560-22129ff3b9ef" xmlns:ns3="7a5c8f48-baab-4214-9d10-108408e7d086" targetNamespace="http://schemas.microsoft.com/office/2006/metadata/properties" ma:root="true" ma:fieldsID="ab6b24efc19e8aff01080f25c42af580" ns2:_="" ns3:_="">
    <xsd:import namespace="c2b686cc-bb53-46ec-b560-22129ff3b9ef"/>
    <xsd:import namespace="7a5c8f48-baab-4214-9d10-108408e7d0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IncorporatedintoGrant" minOccurs="0"/>
                <xsd:element ref="ns2:EnteredintoCAMP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86cc-bb53-46ec-b560-22129ff3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ncorporatedintoGrant" ma:index="23" nillable="true" ma:displayName="Incorporated into Grant" ma:default="1" ma:format="Dropdown" ma:internalName="IncorporatedintoGrant">
      <xsd:simpleType>
        <xsd:restriction base="dms:Boolean"/>
      </xsd:simpleType>
    </xsd:element>
    <xsd:element name="EnteredintoCAMP_x003f_" ma:index="24" nillable="true" ma:displayName="Entered into CAMP?" ma:description="Was this entered into CAMP for Quarterly Reporting" ma:format="Dropdown" ma:internalName="EnteredintoCAMP_x003f_">
      <xsd:simpleType>
        <xsd:restriction base="dms:Choice">
          <xsd:enumeration value="Yes"/>
          <xsd:enumeration value="I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7a5c8f48-baab-4214-9d10-108408e7d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2df6ffa-e6bd-4f8f-8943-10cb05b5a84c}" ma:internalName="TaxCatchAll" ma:showField="CatchAllData" ma:web="7a5c8f48-baab-4214-9d10-108408e7d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IncorporatedintoGrant xmlns="c2b686cc-bb53-46ec-b560-22129ff3b9ef">true</IncorporatedintoGrant>
    <EnteredintoCAMP_x003f_ xmlns="c2b686cc-bb53-46ec-b560-22129ff3b9ef" xsi:nil="true"/>
    <TaxCatchAll xmlns="7a5c8f48-baab-4214-9d10-108408e7d086" xsi:nil="true"/>
    <lcf76f155ced4ddcb4097134ff3c332f xmlns="c2b686cc-bb53-46ec-b560-22129ff3b9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61453-13A6-45D1-97EB-2509A1C8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86cc-bb53-46ec-b560-22129ff3b9ef"/>
    <ds:schemaRef ds:uri="7a5c8f48-baab-4214-9d10-108408e7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57BF5A84-D146-4B84-B77D-38529A5E057B}">
  <ds:schemaRefs>
    <ds:schemaRef ds:uri="http://schemas.microsoft.com/office/2006/documentManagement/types"/>
    <ds:schemaRef ds:uri="c2b686cc-bb53-46ec-b560-22129ff3b9ef"/>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a5c8f48-baab-4214-9d10-108408e7d086"/>
    <ds:schemaRef ds:uri="http://purl.org/dc/dcmitype/"/>
    <ds:schemaRef ds:uri="http://purl.org/dc/terms/"/>
    <ds:schemaRef ds:uri="http://purl.org/dc/elements/1.1/"/>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7</TotalTime>
  <Pages>2</Pages>
  <Words>678</Words>
  <Characters>5123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Health Advisory: Measles Cases in Twin Cities Area</vt:lpstr>
    </vt:vector>
  </TitlesOfParts>
  <Company>State of Minnesota</Company>
  <LinksUpToDate>false</LinksUpToDate>
  <CharactersWithSpaces>5790</CharactersWithSpaces>
  <SharedDoc>false</SharedDoc>
  <HLinks>
    <vt:vector size="78" baseType="variant">
      <vt:variant>
        <vt:i4>6815848</vt:i4>
      </vt:variant>
      <vt:variant>
        <vt:i4>36</vt:i4>
      </vt:variant>
      <vt:variant>
        <vt:i4>0</vt:i4>
      </vt:variant>
      <vt:variant>
        <vt:i4>5</vt:i4>
      </vt:variant>
      <vt:variant>
        <vt:lpwstr>https://www.health.state.mn.us/han</vt:lpwstr>
      </vt:variant>
      <vt:variant>
        <vt:lpwstr/>
      </vt:variant>
      <vt:variant>
        <vt:i4>7667745</vt:i4>
      </vt:variant>
      <vt:variant>
        <vt:i4>33</vt:i4>
      </vt:variant>
      <vt:variant>
        <vt:i4>0</vt:i4>
      </vt:variant>
      <vt:variant>
        <vt:i4>5</vt:i4>
      </vt:variant>
      <vt:variant>
        <vt:lpwstr>https://www.cdc.gov/measles/hcp/clinical-overview/stay-alert-for-measles-cases.html</vt:lpwstr>
      </vt:variant>
      <vt:variant>
        <vt:lpwstr/>
      </vt:variant>
      <vt:variant>
        <vt:i4>3670141</vt:i4>
      </vt:variant>
      <vt:variant>
        <vt:i4>30</vt:i4>
      </vt:variant>
      <vt:variant>
        <vt:i4>0</vt:i4>
      </vt:variant>
      <vt:variant>
        <vt:i4>5</vt:i4>
      </vt:variant>
      <vt:variant>
        <vt:lpwstr>https://www.health.state.mn.us/people/immunize/miic/train/followup.html</vt:lpwstr>
      </vt:variant>
      <vt:variant>
        <vt:lpwstr/>
      </vt:variant>
      <vt:variant>
        <vt:i4>983061</vt:i4>
      </vt:variant>
      <vt:variant>
        <vt:i4>27</vt:i4>
      </vt:variant>
      <vt:variant>
        <vt:i4>0</vt:i4>
      </vt:variant>
      <vt:variant>
        <vt:i4>5</vt:i4>
      </vt:variant>
      <vt:variant>
        <vt:lpwstr>https://www.cdc.gov/measles/data-research/index.html</vt:lpwstr>
      </vt:variant>
      <vt:variant>
        <vt:lpwstr/>
      </vt:variant>
      <vt:variant>
        <vt:i4>393292</vt:i4>
      </vt:variant>
      <vt:variant>
        <vt:i4>24</vt:i4>
      </vt:variant>
      <vt:variant>
        <vt:i4>0</vt:i4>
      </vt:variant>
      <vt:variant>
        <vt:i4>5</vt:i4>
      </vt:variant>
      <vt:variant>
        <vt:lpwstr>https://www.cdc.gov/measles/travel/index.html</vt:lpwstr>
      </vt:variant>
      <vt:variant>
        <vt:lpwstr/>
      </vt:variant>
      <vt:variant>
        <vt:i4>8323198</vt:i4>
      </vt:variant>
      <vt:variant>
        <vt:i4>21</vt:i4>
      </vt:variant>
      <vt:variant>
        <vt:i4>0</vt:i4>
      </vt:variant>
      <vt:variant>
        <vt:i4>5</vt:i4>
      </vt:variant>
      <vt:variant>
        <vt:lpwstr>https://www.health.state.mn.us/diseases/measles/hcp/index.html</vt:lpwstr>
      </vt:variant>
      <vt:variant>
        <vt:lpwstr/>
      </vt:variant>
      <vt:variant>
        <vt:i4>983061</vt:i4>
      </vt:variant>
      <vt:variant>
        <vt:i4>18</vt:i4>
      </vt:variant>
      <vt:variant>
        <vt:i4>0</vt:i4>
      </vt:variant>
      <vt:variant>
        <vt:i4>5</vt:i4>
      </vt:variant>
      <vt:variant>
        <vt:lpwstr>https://www.cdc.gov/measles/data-research/index.html</vt:lpwstr>
      </vt:variant>
      <vt:variant>
        <vt:lpwstr/>
      </vt:variant>
      <vt:variant>
        <vt:i4>393292</vt:i4>
      </vt:variant>
      <vt:variant>
        <vt:i4>15</vt:i4>
      </vt:variant>
      <vt:variant>
        <vt:i4>0</vt:i4>
      </vt:variant>
      <vt:variant>
        <vt:i4>5</vt:i4>
      </vt:variant>
      <vt:variant>
        <vt:lpwstr>https://www.cdc.gov/measles/travel/index.html</vt:lpwstr>
      </vt:variant>
      <vt:variant>
        <vt:lpwstr/>
      </vt:variant>
      <vt:variant>
        <vt:i4>3276901</vt:i4>
      </vt:variant>
      <vt:variant>
        <vt:i4>12</vt:i4>
      </vt:variant>
      <vt:variant>
        <vt:i4>0</vt:i4>
      </vt:variant>
      <vt:variant>
        <vt:i4>5</vt:i4>
      </vt:variant>
      <vt:variant>
        <vt:lpwstr>https://www.cdc.gov/measles/data-research/</vt:lpwstr>
      </vt:variant>
      <vt:variant>
        <vt:lpwstr/>
      </vt:variant>
      <vt:variant>
        <vt:i4>6881374</vt:i4>
      </vt:variant>
      <vt:variant>
        <vt:i4>9</vt:i4>
      </vt:variant>
      <vt:variant>
        <vt:i4>0</vt:i4>
      </vt:variant>
      <vt:variant>
        <vt:i4>5</vt:i4>
      </vt:variant>
      <vt:variant>
        <vt:lpwstr>mailto:health.miichelp@state.mn.us</vt:lpwstr>
      </vt:variant>
      <vt:variant>
        <vt:lpwstr/>
      </vt:variant>
      <vt:variant>
        <vt:i4>65626</vt:i4>
      </vt:variant>
      <vt:variant>
        <vt:i4>6</vt:i4>
      </vt:variant>
      <vt:variant>
        <vt:i4>0</vt:i4>
      </vt:variant>
      <vt:variant>
        <vt:i4>5</vt:i4>
      </vt:variant>
      <vt:variant>
        <vt:lpwstr>https://www.cdc.gov/measles/hcp/vaccine-considerations/index.html</vt:lpwstr>
      </vt:variant>
      <vt:variant>
        <vt:lpwstr/>
      </vt:variant>
      <vt:variant>
        <vt:i4>3080229</vt:i4>
      </vt:variant>
      <vt:variant>
        <vt:i4>3</vt:i4>
      </vt:variant>
      <vt:variant>
        <vt:i4>0</vt:i4>
      </vt:variant>
      <vt:variant>
        <vt:i4>5</vt:i4>
      </vt:variant>
      <vt:variant>
        <vt:lpwstr>https://www.health.state.mn.us/diseases/measles/hcp/labtesting.html</vt:lpwstr>
      </vt:variant>
      <vt:variant>
        <vt:lpwstr/>
      </vt:variant>
      <vt:variant>
        <vt:i4>4915264</vt:i4>
      </vt:variant>
      <vt:variant>
        <vt:i4>0</vt:i4>
      </vt:variant>
      <vt:variant>
        <vt:i4>0</vt:i4>
      </vt:variant>
      <vt:variant>
        <vt:i4>5</vt:i4>
      </vt:variant>
      <vt:variant>
        <vt:lpwstr>https://www.health.state.mn.us/diseases/measles/hcp/minimize.html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Measles Cases in Twin Cities Area</dc:title>
  <dc:subject/>
  <dc:creator>Minnesota Department of Health</dc:creator>
  <cp:keywords/>
  <dc:description/>
  <cp:lastModifiedBy>VanBergen, Christine (She/Her/Hers) (MDH)</cp:lastModifiedBy>
  <cp:revision>10</cp:revision>
  <cp:lastPrinted>2016-12-14T20:03:00Z</cp:lastPrinted>
  <dcterms:created xsi:type="dcterms:W3CDTF">2025-09-24T20:36:00Z</dcterms:created>
  <dcterms:modified xsi:type="dcterms:W3CDTF">2025-09-25T15:36:00Z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0x0101003513E33DFF910D439AC224F8D124280A</vt:lpwstr>
  </property>
  <property fmtid="{D5CDD505-2E9C-101B-9397-08002B2CF9AE}" pid="3" name="_dlc_DocIdItemGuid">
    <vt:lpwstr>21075d31-a098-4126-a0c3-2155733820d1</vt:lpwstr>
  </property>
  <property fmtid="{D5CDD505-2E9C-101B-9397-08002B2CF9AE}" pid="4" name="MediaServiceImageTags">
    <vt:lpwstr/>
  </property>
</Properties>
</file>