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A60D33" w:rsidP="00B61327">
      <w:pPr>
        <w:pStyle w:val="LOGO"/>
      </w:pPr>
      <w:r>
        <w:drawing>
          <wp:inline distT="0" distB="0" distL="0" distR="0" wp14:anchorId="77D5C4D2" wp14:editId="5EECAE70">
            <wp:extent cx="2743200"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365760"/>
                    </a:xfrm>
                    <a:prstGeom prst="rect">
                      <a:avLst/>
                    </a:prstGeom>
                  </pic:spPr>
                </pic:pic>
              </a:graphicData>
            </a:graphic>
          </wp:inline>
        </w:drawing>
      </w:r>
    </w:p>
    <w:p w:rsidR="00CC4911" w:rsidRPr="00442BA6" w:rsidRDefault="00442BA6" w:rsidP="00442BA6">
      <w:pPr>
        <w:pStyle w:val="Heading1"/>
        <w:rPr>
          <w:sz w:val="36"/>
          <w:szCs w:val="36"/>
        </w:rPr>
      </w:pPr>
      <w:r w:rsidRPr="00442BA6">
        <w:rPr>
          <w:sz w:val="36"/>
          <w:szCs w:val="36"/>
        </w:rPr>
        <w:t xml:space="preserve">Health Advisory: </w:t>
      </w:r>
      <w:r w:rsidR="009D6417">
        <w:rPr>
          <w:sz w:val="36"/>
          <w:szCs w:val="36"/>
        </w:rPr>
        <w:t>National Hepatitis A Outbreaks</w:t>
      </w:r>
    </w:p>
    <w:p w:rsidR="00442BA6" w:rsidRPr="0019411C" w:rsidRDefault="00442BA6" w:rsidP="00442BA6">
      <w:pPr>
        <w:rPr>
          <w:sz w:val="20"/>
          <w:szCs w:val="20"/>
        </w:rPr>
      </w:pPr>
      <w:r w:rsidRPr="0019411C">
        <w:rPr>
          <w:sz w:val="20"/>
          <w:szCs w:val="20"/>
        </w:rPr>
        <w:t>Minnesota De</w:t>
      </w:r>
      <w:r w:rsidR="00D94865" w:rsidRPr="0019411C">
        <w:rPr>
          <w:sz w:val="20"/>
          <w:szCs w:val="20"/>
        </w:rPr>
        <w:t xml:space="preserve">partment of Health </w:t>
      </w:r>
      <w:r w:rsidR="009D6417">
        <w:rPr>
          <w:sz w:val="20"/>
          <w:szCs w:val="20"/>
        </w:rPr>
        <w:t>Mon</w:t>
      </w:r>
      <w:r w:rsidR="00D94865" w:rsidRPr="0019411C">
        <w:rPr>
          <w:sz w:val="20"/>
          <w:szCs w:val="20"/>
        </w:rPr>
        <w:t xml:space="preserve"> </w:t>
      </w:r>
      <w:r w:rsidR="009D6417">
        <w:rPr>
          <w:sz w:val="20"/>
          <w:szCs w:val="20"/>
        </w:rPr>
        <w:t>May</w:t>
      </w:r>
      <w:r w:rsidR="00D94865" w:rsidRPr="0019411C">
        <w:rPr>
          <w:sz w:val="20"/>
          <w:szCs w:val="20"/>
        </w:rPr>
        <w:t xml:space="preserve"> </w:t>
      </w:r>
      <w:r w:rsidR="00766DB0">
        <w:rPr>
          <w:sz w:val="20"/>
          <w:szCs w:val="20"/>
        </w:rPr>
        <w:t>20 11</w:t>
      </w:r>
      <w:bookmarkStart w:id="0" w:name="_GoBack"/>
      <w:bookmarkEnd w:id="0"/>
      <w:r w:rsidRPr="0019411C">
        <w:rPr>
          <w:sz w:val="20"/>
          <w:szCs w:val="20"/>
        </w:rPr>
        <w:t>:00 CDT 2019</w:t>
      </w:r>
    </w:p>
    <w:p w:rsidR="0019411C" w:rsidRPr="00EC1BBE" w:rsidRDefault="0019411C" w:rsidP="0019411C">
      <w:pPr>
        <w:pStyle w:val="Heading2"/>
        <w:rPr>
          <w:sz w:val="24"/>
          <w:szCs w:val="24"/>
        </w:rPr>
      </w:pPr>
      <w:r w:rsidRPr="00EC1BBE">
        <w:rPr>
          <w:sz w:val="24"/>
          <w:szCs w:val="24"/>
        </w:rPr>
        <w:t>Action Steps</w:t>
      </w:r>
    </w:p>
    <w:p w:rsidR="0019411C" w:rsidRPr="00EC1BBE" w:rsidRDefault="0019411C" w:rsidP="0019411C">
      <w:pPr>
        <w:pStyle w:val="NormalWeb"/>
        <w:spacing w:before="0" w:beforeAutospacing="0" w:after="0" w:afterAutospacing="0"/>
        <w:contextualSpacing/>
        <w:rPr>
          <w:rFonts w:cstheme="minorHAnsi"/>
          <w:sz w:val="24"/>
        </w:rPr>
      </w:pPr>
      <w:r w:rsidRPr="00EC1BBE">
        <w:rPr>
          <w:rFonts w:cstheme="minorHAnsi"/>
          <w:b/>
          <w:bCs/>
          <w:i/>
          <w:iCs/>
          <w:sz w:val="24"/>
        </w:rPr>
        <w:t xml:space="preserve">Local and tribal health departments: </w:t>
      </w:r>
      <w:r w:rsidR="00EC1BBE" w:rsidRPr="00EC1BBE">
        <w:rPr>
          <w:rFonts w:cstheme="minorHAnsi"/>
          <w:sz w:val="24"/>
        </w:rPr>
        <w:t xml:space="preserve">Please forward to </w:t>
      </w:r>
      <w:r w:rsidR="009D6417">
        <w:rPr>
          <w:rFonts w:cstheme="minorHAnsi"/>
          <w:sz w:val="24"/>
        </w:rPr>
        <w:t>hospitals, urgent care centers, clinics and convenience clinics in your jurisdiction</w:t>
      </w:r>
      <w:r w:rsidR="00EC1BBE" w:rsidRPr="00EC1BBE">
        <w:rPr>
          <w:rFonts w:cstheme="minorHAnsi"/>
          <w:sz w:val="24"/>
        </w:rPr>
        <w:t>.</w:t>
      </w:r>
      <w:r w:rsidRPr="00EC1BBE">
        <w:rPr>
          <w:rFonts w:cstheme="minorHAnsi"/>
          <w:sz w:val="24"/>
        </w:rPr>
        <w:br/>
      </w:r>
      <w:r w:rsidRPr="00EC1BBE">
        <w:rPr>
          <w:rFonts w:cstheme="minorHAnsi"/>
          <w:b/>
          <w:bCs/>
          <w:i/>
          <w:iCs/>
          <w:sz w:val="24"/>
        </w:rPr>
        <w:t xml:space="preserve">Hospitals and clinics: </w:t>
      </w:r>
      <w:r w:rsidR="00EC1BBE" w:rsidRPr="00EC1BBE">
        <w:rPr>
          <w:rFonts w:cstheme="minorHAnsi"/>
          <w:sz w:val="24"/>
        </w:rPr>
        <w:t xml:space="preserve">Please distribute to </w:t>
      </w:r>
      <w:r w:rsidR="009D6417">
        <w:rPr>
          <w:rFonts w:cstheme="minorHAnsi"/>
          <w:sz w:val="24"/>
        </w:rPr>
        <w:t>health care providers who treat patients presenting with new illness.</w:t>
      </w:r>
      <w:r w:rsidR="00EC1BBE" w:rsidRPr="00EC1BBE">
        <w:rPr>
          <w:rFonts w:cstheme="minorHAnsi"/>
          <w:sz w:val="24"/>
        </w:rPr>
        <w:t xml:space="preserve"> </w:t>
      </w:r>
      <w:r w:rsidR="00EC1BBE" w:rsidRPr="00EC1BBE">
        <w:rPr>
          <w:rFonts w:cstheme="minorHAnsi"/>
          <w:sz w:val="24"/>
        </w:rPr>
        <w:br/>
      </w:r>
      <w:r w:rsidRPr="00EC1BBE">
        <w:rPr>
          <w:rFonts w:cstheme="minorHAnsi"/>
          <w:b/>
          <w:bCs/>
          <w:i/>
          <w:iCs/>
          <w:sz w:val="24"/>
        </w:rPr>
        <w:t>Health care providers:</w:t>
      </w:r>
    </w:p>
    <w:p w:rsidR="009D6417" w:rsidRPr="009D6417" w:rsidRDefault="009D6417" w:rsidP="009D6417">
      <w:pPr>
        <w:pStyle w:val="Heading2"/>
        <w:numPr>
          <w:ilvl w:val="0"/>
          <w:numId w:val="11"/>
        </w:numPr>
        <w:rPr>
          <w:rFonts w:ascii="Calibri" w:eastAsia="Times New Roman" w:hAnsi="Calibri" w:cs="Calibri"/>
          <w:b w:val="0"/>
          <w:bCs w:val="0"/>
          <w:spacing w:val="0"/>
        </w:rPr>
      </w:pPr>
      <w:r w:rsidRPr="009D6417">
        <w:rPr>
          <w:rFonts w:ascii="Calibri" w:eastAsia="Times New Roman" w:hAnsi="Calibri" w:cs="Calibri"/>
          <w:b w:val="0"/>
          <w:bCs w:val="0"/>
          <w:spacing w:val="0"/>
        </w:rPr>
        <w:t>Test patients with hepatitis A symptoms, testing</w:t>
      </w:r>
      <w:r>
        <w:rPr>
          <w:rFonts w:ascii="Calibri" w:eastAsia="Times New Roman" w:hAnsi="Calibri" w:cs="Calibri"/>
          <w:b w:val="0"/>
          <w:bCs w:val="0"/>
          <w:spacing w:val="0"/>
        </w:rPr>
        <w:t xml:space="preserve"> </w:t>
      </w:r>
      <w:r w:rsidRPr="009D6417">
        <w:rPr>
          <w:rFonts w:ascii="Calibri" w:eastAsia="Times New Roman" w:hAnsi="Calibri" w:cs="Calibri"/>
          <w:b w:val="0"/>
          <w:bCs w:val="0"/>
          <w:spacing w:val="0"/>
        </w:rPr>
        <w:t>should include hepatitis A IgM antibody testing and liver function tests.</w:t>
      </w:r>
    </w:p>
    <w:p w:rsidR="009D6417" w:rsidRPr="009D6417" w:rsidRDefault="009D6417" w:rsidP="009D6417">
      <w:pPr>
        <w:pStyle w:val="Heading2"/>
        <w:numPr>
          <w:ilvl w:val="0"/>
          <w:numId w:val="11"/>
        </w:numPr>
        <w:rPr>
          <w:rFonts w:ascii="Calibri" w:eastAsia="Times New Roman" w:hAnsi="Calibri" w:cs="Calibri"/>
          <w:b w:val="0"/>
          <w:bCs w:val="0"/>
          <w:spacing w:val="0"/>
        </w:rPr>
      </w:pPr>
      <w:r w:rsidRPr="009D6417">
        <w:rPr>
          <w:rFonts w:ascii="Calibri" w:eastAsia="Times New Roman" w:hAnsi="Calibri" w:cs="Calibri"/>
          <w:b w:val="0"/>
          <w:bCs w:val="0"/>
          <w:spacing w:val="0"/>
        </w:rPr>
        <w:t>Report suspected cases and contact MDH at1-877-676-5414 (toll-free) or 651-201-5414 with questions.</w:t>
      </w:r>
    </w:p>
    <w:p w:rsidR="00EC1BBE" w:rsidRPr="009D6417" w:rsidRDefault="009D6417" w:rsidP="0019411C">
      <w:pPr>
        <w:pStyle w:val="Heading2"/>
        <w:numPr>
          <w:ilvl w:val="0"/>
          <w:numId w:val="11"/>
        </w:numPr>
        <w:rPr>
          <w:rFonts w:ascii="Calibri" w:eastAsia="Times New Roman" w:hAnsi="Calibri" w:cs="Calibri"/>
          <w:b w:val="0"/>
          <w:bCs w:val="0"/>
          <w:spacing w:val="0"/>
        </w:rPr>
      </w:pPr>
      <w:r w:rsidRPr="009D6417">
        <w:rPr>
          <w:rFonts w:ascii="Calibri" w:eastAsia="Times New Roman" w:hAnsi="Calibri" w:cs="Calibri"/>
          <w:b w:val="0"/>
          <w:bCs w:val="0"/>
          <w:spacing w:val="0"/>
        </w:rPr>
        <w:t>Promote hepatitis A vaccine, especially among high</w:t>
      </w:r>
      <w:r>
        <w:rPr>
          <w:rFonts w:ascii="Calibri" w:eastAsia="Times New Roman" w:hAnsi="Calibri" w:cs="Calibri"/>
          <w:b w:val="0"/>
          <w:bCs w:val="0"/>
          <w:spacing w:val="0"/>
        </w:rPr>
        <w:t xml:space="preserve"> </w:t>
      </w:r>
      <w:r w:rsidRPr="009D6417">
        <w:rPr>
          <w:rFonts w:ascii="Calibri" w:eastAsia="Times New Roman" w:hAnsi="Calibri" w:cs="Calibri"/>
          <w:b w:val="0"/>
          <w:bCs w:val="0"/>
          <w:spacing w:val="0"/>
        </w:rPr>
        <w:t>risk patients.</w:t>
      </w:r>
    </w:p>
    <w:p w:rsidR="009D6417" w:rsidRPr="009D6417" w:rsidRDefault="009D6417" w:rsidP="009D6417">
      <w:pPr>
        <w:pStyle w:val="NormalWeb"/>
        <w:rPr>
          <w:rFonts w:cstheme="minorHAnsi"/>
          <w:color w:val="auto"/>
        </w:rPr>
      </w:pPr>
      <w:r w:rsidRPr="009D6417">
        <w:rPr>
          <w:rFonts w:cstheme="minorHAnsi"/>
          <w:b/>
          <w:bCs/>
        </w:rPr>
        <w:t>Background</w:t>
      </w:r>
      <w:r w:rsidRPr="009D6417">
        <w:rPr>
          <w:rFonts w:cstheme="minorHAnsi"/>
        </w:rPr>
        <w:br/>
        <w:t>There are multiple hepatitis A outbreaks occurring across the U.S. Since the outbreaks were first identified in 2016, there have been over 17,000 cases, 9,500 hospitalizations, and 170 deaths in 22 states. The highest risk groups for acquiring hepatitis A in these outbreaks include:</w:t>
      </w:r>
    </w:p>
    <w:p w:rsidR="009D6417" w:rsidRPr="009D6417" w:rsidRDefault="009D6417" w:rsidP="009D6417">
      <w:pPr>
        <w:numPr>
          <w:ilvl w:val="0"/>
          <w:numId w:val="12"/>
        </w:numPr>
        <w:spacing w:before="100" w:beforeAutospacing="1" w:after="100" w:afterAutospacing="1"/>
        <w:rPr>
          <w:rFonts w:asciiTheme="minorHAnsi" w:hAnsiTheme="minorHAnsi" w:cstheme="minorHAnsi"/>
        </w:rPr>
      </w:pPr>
      <w:r w:rsidRPr="009D6417">
        <w:rPr>
          <w:rFonts w:asciiTheme="minorHAnsi" w:hAnsiTheme="minorHAnsi" w:cstheme="minorHAnsi"/>
        </w:rPr>
        <w:t>People who use injection and non-injection drugs.</w:t>
      </w:r>
    </w:p>
    <w:p w:rsidR="009D6417" w:rsidRPr="009D6417" w:rsidRDefault="009D6417" w:rsidP="009D6417">
      <w:pPr>
        <w:numPr>
          <w:ilvl w:val="0"/>
          <w:numId w:val="12"/>
        </w:numPr>
        <w:spacing w:before="100" w:beforeAutospacing="1" w:after="100" w:afterAutospacing="1"/>
        <w:rPr>
          <w:rFonts w:asciiTheme="minorHAnsi" w:hAnsiTheme="minorHAnsi" w:cstheme="minorHAnsi"/>
        </w:rPr>
      </w:pPr>
      <w:r w:rsidRPr="009D6417">
        <w:rPr>
          <w:rFonts w:asciiTheme="minorHAnsi" w:hAnsiTheme="minorHAnsi" w:cstheme="minorHAnsi"/>
        </w:rPr>
        <w:t>People experiencing homelessness or unstable housing.</w:t>
      </w:r>
    </w:p>
    <w:p w:rsidR="009D6417" w:rsidRPr="009D6417" w:rsidRDefault="009D6417" w:rsidP="009D6417">
      <w:pPr>
        <w:numPr>
          <w:ilvl w:val="0"/>
          <w:numId w:val="12"/>
        </w:numPr>
        <w:spacing w:before="100" w:beforeAutospacing="1" w:after="100" w:afterAutospacing="1"/>
        <w:rPr>
          <w:rFonts w:asciiTheme="minorHAnsi" w:hAnsiTheme="minorHAnsi" w:cstheme="minorHAnsi"/>
        </w:rPr>
      </w:pPr>
      <w:r w:rsidRPr="009D6417">
        <w:rPr>
          <w:rFonts w:asciiTheme="minorHAnsi" w:hAnsiTheme="minorHAnsi" w:cstheme="minorHAnsi"/>
        </w:rPr>
        <w:t>People who are currently or were recently incarcerated.</w:t>
      </w:r>
    </w:p>
    <w:p w:rsidR="009D6417" w:rsidRPr="009D6417" w:rsidRDefault="009D6417" w:rsidP="009D6417">
      <w:pPr>
        <w:numPr>
          <w:ilvl w:val="0"/>
          <w:numId w:val="12"/>
        </w:numPr>
        <w:spacing w:before="100" w:beforeAutospacing="1" w:after="100" w:afterAutospacing="1"/>
        <w:rPr>
          <w:rFonts w:asciiTheme="minorHAnsi" w:hAnsiTheme="minorHAnsi" w:cstheme="minorHAnsi"/>
        </w:rPr>
      </w:pPr>
      <w:r w:rsidRPr="009D6417">
        <w:rPr>
          <w:rFonts w:asciiTheme="minorHAnsi" w:hAnsiTheme="minorHAnsi" w:cstheme="minorHAnsi"/>
        </w:rPr>
        <w:t>Men who have sex with men (MSM).</w:t>
      </w:r>
    </w:p>
    <w:p w:rsidR="009D6417" w:rsidRPr="009D6417" w:rsidRDefault="009D6417" w:rsidP="009D6417">
      <w:pPr>
        <w:pStyle w:val="NormalWeb"/>
        <w:rPr>
          <w:rFonts w:cstheme="minorHAnsi"/>
        </w:rPr>
      </w:pPr>
      <w:r w:rsidRPr="009D6417">
        <w:rPr>
          <w:rFonts w:cstheme="minorHAnsi"/>
        </w:rPr>
        <w:t>Minnesota is not currently experiencing an outbreak; however, two recently identified cases have been infected in Minnesota with risk factors related to the national outbreaks. Additionally,</w:t>
      </w:r>
      <w:r w:rsidR="00904E29">
        <w:rPr>
          <w:rFonts w:cstheme="minorHAnsi"/>
        </w:rPr>
        <w:t xml:space="preserve"> </w:t>
      </w:r>
      <w:r w:rsidRPr="009D6417">
        <w:rPr>
          <w:rFonts w:cstheme="minorHAnsi"/>
        </w:rPr>
        <w:t>there have been eight cases of hepatitis A identified in Minnesota associated with outbreaks in other states within the last 6 months. Given the nationwide outbreaks and the severity of hepatitis A infection, the Minnesota Department of Health has heightened urgency around hepatitis A case identification, reporting,</w:t>
      </w:r>
      <w:r w:rsidR="00904E29">
        <w:rPr>
          <w:rFonts w:cstheme="minorHAnsi"/>
        </w:rPr>
        <w:t xml:space="preserve"> </w:t>
      </w:r>
      <w:r w:rsidRPr="009D6417">
        <w:rPr>
          <w:rFonts w:cstheme="minorHAnsi"/>
        </w:rPr>
        <w:t>and vaccination.</w:t>
      </w:r>
    </w:p>
    <w:p w:rsidR="009D6417" w:rsidRPr="009D6417" w:rsidRDefault="009D6417" w:rsidP="009D6417">
      <w:pPr>
        <w:pStyle w:val="NormalWeb"/>
        <w:rPr>
          <w:rFonts w:cstheme="minorHAnsi"/>
        </w:rPr>
      </w:pPr>
      <w:r w:rsidRPr="009D6417">
        <w:rPr>
          <w:rFonts w:cstheme="minorHAnsi"/>
          <w:b/>
          <w:bCs/>
        </w:rPr>
        <w:t>Testing</w:t>
      </w:r>
      <w:r w:rsidRPr="009D6417">
        <w:rPr>
          <w:rFonts w:cstheme="minorHAnsi"/>
        </w:rPr>
        <w:br/>
        <w:t>Test patients for hepatitis A if presenting with clinically compatible symptoms. Do not test asymptomatic patients.</w:t>
      </w:r>
    </w:p>
    <w:p w:rsidR="009D6417" w:rsidRPr="009D6417" w:rsidRDefault="009D6417" w:rsidP="009D6417">
      <w:pPr>
        <w:pStyle w:val="NormalWeb"/>
        <w:rPr>
          <w:rFonts w:cstheme="minorHAnsi"/>
        </w:rPr>
      </w:pPr>
      <w:r w:rsidRPr="009D6417">
        <w:rPr>
          <w:rFonts w:cstheme="minorHAnsi"/>
        </w:rPr>
        <w:t>Testing should include hepatitis A IgM antibody testing and liver function tests.</w:t>
      </w:r>
    </w:p>
    <w:p w:rsidR="009D6417" w:rsidRPr="009D6417" w:rsidRDefault="009D6417" w:rsidP="009D6417">
      <w:pPr>
        <w:pStyle w:val="NormalWeb"/>
        <w:rPr>
          <w:rFonts w:cstheme="minorHAnsi"/>
        </w:rPr>
      </w:pPr>
      <w:r w:rsidRPr="009D6417">
        <w:rPr>
          <w:rFonts w:cstheme="minorHAnsi"/>
        </w:rPr>
        <w:t>Symptoms include: fever, headache, fatigue, malaise, nausea,</w:t>
      </w:r>
      <w:r w:rsidR="00904E29">
        <w:rPr>
          <w:rFonts w:cstheme="minorHAnsi"/>
        </w:rPr>
        <w:t xml:space="preserve"> </w:t>
      </w:r>
      <w:r w:rsidRPr="009D6417">
        <w:rPr>
          <w:rFonts w:cstheme="minorHAnsi"/>
        </w:rPr>
        <w:t>anorexia, abdominal pain, vomiting, diarrhea, dark urine, light colored stool,</w:t>
      </w:r>
      <w:r w:rsidR="00904E29">
        <w:rPr>
          <w:rFonts w:cstheme="minorHAnsi"/>
        </w:rPr>
        <w:t xml:space="preserve"> </w:t>
      </w:r>
      <w:r w:rsidRPr="009D6417">
        <w:rPr>
          <w:rFonts w:cstheme="minorHAnsi"/>
        </w:rPr>
        <w:t>and jaundice.</w:t>
      </w:r>
    </w:p>
    <w:p w:rsidR="009D6417" w:rsidRPr="009D6417" w:rsidRDefault="009D6417" w:rsidP="009D6417">
      <w:pPr>
        <w:pStyle w:val="NormalWeb"/>
        <w:rPr>
          <w:rFonts w:cstheme="minorHAnsi"/>
        </w:rPr>
      </w:pPr>
      <w:r w:rsidRPr="009D6417">
        <w:rPr>
          <w:rFonts w:cstheme="minorHAnsi"/>
          <w:b/>
          <w:bCs/>
        </w:rPr>
        <w:t>Vaccinate</w:t>
      </w:r>
      <w:r w:rsidRPr="009D6417">
        <w:rPr>
          <w:rFonts w:cstheme="minorHAnsi"/>
        </w:rPr>
        <w:br/>
        <w:t>Promote hepatitis A vaccine among patients, including:</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People who use injection and non-injection drugs.</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People experiencing homelessness or unstable housing.</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People who are currently or were recently incarcerated.</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lastRenderedPageBreak/>
        <w:t>Men who have sex with men.</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People with direct contact with someone who has hepatitis A.</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People traveling to areas where hepatitis A is common.</w:t>
      </w:r>
    </w:p>
    <w:p w:rsidR="009D6417" w:rsidRPr="009D6417" w:rsidRDefault="009D6417" w:rsidP="009D6417">
      <w:pPr>
        <w:numPr>
          <w:ilvl w:val="0"/>
          <w:numId w:val="13"/>
        </w:numPr>
        <w:spacing w:before="100" w:beforeAutospacing="1" w:after="100" w:afterAutospacing="1"/>
        <w:rPr>
          <w:rFonts w:asciiTheme="minorHAnsi" w:hAnsiTheme="minorHAnsi" w:cstheme="minorHAnsi"/>
        </w:rPr>
      </w:pPr>
      <w:r w:rsidRPr="009D6417">
        <w:rPr>
          <w:rFonts w:asciiTheme="minorHAnsi" w:hAnsiTheme="minorHAnsi" w:cstheme="minorHAnsi"/>
        </w:rPr>
        <w:t>All people who wish to be protected.</w:t>
      </w:r>
    </w:p>
    <w:p w:rsidR="009D6417" w:rsidRPr="009D6417" w:rsidRDefault="009D6417" w:rsidP="009D6417">
      <w:pPr>
        <w:pStyle w:val="NormalWeb"/>
        <w:rPr>
          <w:rFonts w:cstheme="minorHAnsi"/>
        </w:rPr>
      </w:pPr>
      <w:r w:rsidRPr="009D6417">
        <w:rPr>
          <w:rFonts w:cstheme="minorHAnsi"/>
        </w:rPr>
        <w:t>One dose of single-antigen hepatitis A vaccine has been shown to control outbreaks and provides protection in most individuals, but two</w:t>
      </w:r>
      <w:r>
        <w:rPr>
          <w:rFonts w:cstheme="minorHAnsi"/>
        </w:rPr>
        <w:t xml:space="preserve"> </w:t>
      </w:r>
      <w:r w:rsidRPr="009D6417">
        <w:rPr>
          <w:rFonts w:cstheme="minorHAnsi"/>
        </w:rPr>
        <w:t xml:space="preserve">doses should be given to ensure long-term protection. </w:t>
      </w:r>
    </w:p>
    <w:p w:rsidR="009D6417" w:rsidRPr="009D6417" w:rsidRDefault="009D6417" w:rsidP="009D6417">
      <w:pPr>
        <w:pStyle w:val="NormalWeb"/>
        <w:rPr>
          <w:rFonts w:cstheme="minorHAnsi"/>
        </w:rPr>
      </w:pPr>
      <w:r w:rsidRPr="009D6417">
        <w:rPr>
          <w:rFonts w:cstheme="minorHAnsi"/>
        </w:rPr>
        <w:t xml:space="preserve">Additional information on hepatitis A for clinicians and the general public are available on the MDH website at </w:t>
      </w:r>
      <w:hyperlink r:id="rId9" w:history="1">
        <w:r w:rsidRPr="009D6417">
          <w:rPr>
            <w:rStyle w:val="Hyperlink"/>
            <w:rFonts w:eastAsiaTheme="majorEastAsia" w:cstheme="minorHAnsi"/>
          </w:rPr>
          <w:t>https://www.health.state.mn.us/diseases/hepatitis/a/index.html</w:t>
        </w:r>
      </w:hyperlink>
      <w:r w:rsidRPr="009D6417">
        <w:rPr>
          <w:rFonts w:cstheme="minorHAnsi"/>
        </w:rPr>
        <w:t>.</w:t>
      </w:r>
    </w:p>
    <w:p w:rsidR="009D6417" w:rsidRPr="009D6417" w:rsidRDefault="009D6417" w:rsidP="009D6417">
      <w:pPr>
        <w:pStyle w:val="NormalWeb"/>
        <w:rPr>
          <w:rFonts w:cstheme="minorHAnsi"/>
        </w:rPr>
      </w:pPr>
      <w:r w:rsidRPr="009D6417">
        <w:rPr>
          <w:rFonts w:cstheme="minorHAnsi"/>
        </w:rPr>
        <w:t xml:space="preserve">Information on the national outbreaks can be found on the CDC website at </w:t>
      </w:r>
      <w:hyperlink r:id="rId10" w:history="1">
        <w:r w:rsidRPr="009D6417">
          <w:rPr>
            <w:rStyle w:val="Hyperlink"/>
            <w:rFonts w:eastAsiaTheme="majorEastAsia" w:cstheme="minorHAnsi"/>
          </w:rPr>
          <w:t>https://www.cdc.gov/hepatitis/outbreaks/2017March-HepatitisA.htm</w:t>
        </w:r>
      </w:hyperlink>
      <w:r w:rsidRPr="009D6417">
        <w:rPr>
          <w:rFonts w:cstheme="minorHAnsi"/>
        </w:rPr>
        <w:t>.</w:t>
      </w:r>
    </w:p>
    <w:p w:rsidR="009D6417" w:rsidRPr="009D6417" w:rsidRDefault="009D6417" w:rsidP="009D6417">
      <w:pPr>
        <w:pStyle w:val="NormalWeb"/>
        <w:rPr>
          <w:rFonts w:cstheme="minorHAnsi"/>
        </w:rPr>
      </w:pPr>
      <w:r w:rsidRPr="009D6417">
        <w:rPr>
          <w:rFonts w:cstheme="minorHAnsi"/>
        </w:rPr>
        <w:t xml:space="preserve">A copy of this HAN is available at </w:t>
      </w:r>
      <w:hyperlink r:id="rId11" w:history="1">
        <w:r w:rsidRPr="009D6417">
          <w:rPr>
            <w:rStyle w:val="Hyperlink"/>
            <w:rFonts w:eastAsiaTheme="majorEastAsia" w:cstheme="minorHAnsi"/>
          </w:rPr>
          <w:t>https://www.health.state.mn.us/communities/ep/han/index.html</w:t>
        </w:r>
      </w:hyperlink>
      <w:r w:rsidRPr="009D6417">
        <w:rPr>
          <w:rFonts w:cstheme="minorHAnsi"/>
        </w:rPr>
        <w:br/>
        <w:t>The content of this message is intended for public health and health care personnel and response partners who have a need to know the info</w:t>
      </w:r>
      <w:r>
        <w:rPr>
          <w:rFonts w:cstheme="minorHAnsi"/>
        </w:rPr>
        <w:t>rmation to perform their duties.</w:t>
      </w:r>
    </w:p>
    <w:sectPr w:rsidR="009D6417" w:rsidRPr="009D6417" w:rsidSect="003A1649">
      <w:headerReference w:type="default" r:id="rId12"/>
      <w:footerReference w:type="default" r:id="rId13"/>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A6" w:rsidRDefault="00442BA6" w:rsidP="00442BA6">
      <w:r>
        <w:separator/>
      </w:r>
    </w:p>
  </w:endnote>
  <w:endnote w:type="continuationSeparator" w:id="0">
    <w:p w:rsidR="00442BA6" w:rsidRDefault="00442BA6" w:rsidP="0044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sidP="00442BA6">
        <w:r w:rsidRPr="000F7548">
          <w:fldChar w:fldCharType="begin"/>
        </w:r>
        <w:r w:rsidRPr="000F7548">
          <w:instrText xml:space="preserve"> PAGE   \* MERGEFORMAT </w:instrText>
        </w:r>
        <w:r w:rsidRPr="000F7548">
          <w:fldChar w:fldCharType="separate"/>
        </w:r>
        <w:r w:rsidR="00766DB0">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A6" w:rsidRDefault="00442BA6" w:rsidP="00442BA6">
      <w:r>
        <w:separator/>
      </w:r>
    </w:p>
  </w:footnote>
  <w:footnote w:type="continuationSeparator" w:id="0">
    <w:p w:rsidR="00442BA6" w:rsidRDefault="00442BA6" w:rsidP="0044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EC1BBE" w:rsidRDefault="00EC1BBE" w:rsidP="00EC1BBE">
    <w:pPr>
      <w:pStyle w:val="Header"/>
    </w:pPr>
    <w:r w:rsidRPr="00EC1BBE">
      <w:t xml:space="preserve">Health Advisory: </w:t>
    </w:r>
    <w:r w:rsidR="009D6417">
      <w:t>National Hepatitis A Outbreaks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9DE0BD9"/>
    <w:multiLevelType w:val="multilevel"/>
    <w:tmpl w:val="650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C567A"/>
    <w:multiLevelType w:val="multilevel"/>
    <w:tmpl w:val="BE5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94EDC"/>
    <w:multiLevelType w:val="multilevel"/>
    <w:tmpl w:val="4AE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414D6AB8"/>
    <w:multiLevelType w:val="hybridMultilevel"/>
    <w:tmpl w:val="A59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A1B56"/>
    <w:multiLevelType w:val="hybridMultilevel"/>
    <w:tmpl w:val="D5A0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21C1A"/>
    <w:multiLevelType w:val="multilevel"/>
    <w:tmpl w:val="917C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95B83"/>
    <w:multiLevelType w:val="multilevel"/>
    <w:tmpl w:val="D8E42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12"/>
  </w:num>
  <w:num w:numId="5">
    <w:abstractNumId w:val="3"/>
  </w:num>
  <w:num w:numId="6">
    <w:abstractNumId w:val="2"/>
  </w:num>
  <w:num w:numId="7">
    <w:abstractNumId w:val="6"/>
  </w:num>
  <w:num w:numId="8">
    <w:abstractNumId w:val="5"/>
  </w:num>
  <w:num w:numId="9">
    <w:abstractNumId w:val="8"/>
  </w:num>
  <w:num w:numId="10">
    <w:abstractNumId w:val="11"/>
  </w:num>
  <w:num w:numId="11">
    <w:abstractNumId w:val="9"/>
  </w:num>
  <w:num w:numId="12">
    <w:abstractNumId w:val="1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A6"/>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06A"/>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02"/>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1C"/>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78C"/>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1928"/>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2BA6"/>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2EB9"/>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775"/>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6DB0"/>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4E29"/>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417"/>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5B87"/>
    <w:rsid w:val="00A9687D"/>
    <w:rsid w:val="00A979F5"/>
    <w:rsid w:val="00A97D55"/>
    <w:rsid w:val="00AA00BE"/>
    <w:rsid w:val="00AA09BF"/>
    <w:rsid w:val="00AA11B6"/>
    <w:rsid w:val="00AA28EF"/>
    <w:rsid w:val="00AA2E22"/>
    <w:rsid w:val="00AA4651"/>
    <w:rsid w:val="00AA4B0A"/>
    <w:rsid w:val="00AA5377"/>
    <w:rsid w:val="00AA5493"/>
    <w:rsid w:val="00AA5B55"/>
    <w:rsid w:val="00AA5C90"/>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4865"/>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1BBE"/>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502F"/>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2D3A"/>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FA5802"/>
  <w15:docId w15:val="{6892629D-DC6D-466B-9376-94A3B409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BA6"/>
    <w:pPr>
      <w:spacing w:before="0" w:after="105"/>
    </w:pPr>
    <w:rPr>
      <w:rFonts w:eastAsia="Times New Roman" w:cs="Calibri"/>
      <w:color w:val="333333"/>
    </w:rPr>
  </w:style>
  <w:style w:type="paragraph" w:styleId="Heading1">
    <w:name w:val="heading 1"/>
    <w:aliases w:val="H1 Title"/>
    <w:next w:val="Normal"/>
    <w:link w:val="Heading1Char"/>
    <w:uiPriority w:val="4"/>
    <w:qFormat/>
    <w:rsid w:val="00640A59"/>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19411C"/>
    <w:pPr>
      <w:suppressAutoHyphens/>
      <w:spacing w:before="0" w:after="45" w:line="192" w:lineRule="auto"/>
      <w:outlineLvl w:val="1"/>
    </w:pPr>
    <w:rPr>
      <w:rFonts w:asciiTheme="minorHAnsi" w:eastAsiaTheme="majorEastAsia" w:hAnsiTheme="minorHAnsi" w:cstheme="minorHAnsi"/>
      <w:b/>
      <w:bCs/>
      <w:color w:val="333333"/>
      <w:spacing w:val="-10"/>
    </w:rPr>
  </w:style>
  <w:style w:type="paragraph" w:styleId="Heading3">
    <w:name w:val="heading 3"/>
    <w:aliases w:val="H3 Heading"/>
    <w:next w:val="Normal"/>
    <w:link w:val="Heading3Char"/>
    <w:uiPriority w:val="4"/>
    <w:qFormat/>
    <w:rsid w:val="00E55122"/>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640A59"/>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19411C"/>
    <w:rPr>
      <w:rFonts w:asciiTheme="minorHAnsi" w:eastAsiaTheme="majorEastAsia" w:hAnsiTheme="minorHAnsi" w:cstheme="minorHAnsi"/>
      <w:b/>
      <w:bCs/>
      <w:color w:val="333333"/>
      <w:spacing w:val="-10"/>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EC1BBE"/>
    <w:rPr>
      <w:color w:val="005497" w:themeColor="accent1" w:themeShade="80"/>
      <w:u w:val="single"/>
    </w:rPr>
  </w:style>
  <w:style w:type="character" w:customStyle="1" w:styleId="Heading3Char">
    <w:name w:val="Heading 3 Char"/>
    <w:aliases w:val="H3 Heading Char"/>
    <w:basedOn w:val="DefaultParagraphFont"/>
    <w:link w:val="Heading3"/>
    <w:uiPriority w:val="4"/>
    <w:rsid w:val="00E55122"/>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0000"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
    <w:semiHidden/>
    <w:rsid w:val="008D5A53"/>
    <w:pPr>
      <w:spacing w:after="100"/>
      <w:ind w:left="240"/>
    </w:pPr>
  </w:style>
  <w:style w:type="paragraph" w:styleId="TOC3">
    <w:name w:val="toc 3"/>
    <w:basedOn w:val="Normal"/>
    <w:next w:val="Normal"/>
    <w:uiPriority w:val="3"/>
    <w:semiHidden/>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0000"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customStyle="1" w:styleId="ParagraphBackground">
    <w:name w:val="Paragraph Background"/>
    <w:basedOn w:val="Normal"/>
    <w:uiPriority w:val="1"/>
    <w:qFormat/>
    <w:rsid w:val="00237FAA"/>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CE5732"/>
    <w:rPr>
      <w:rFonts w:asciiTheme="minorHAnsi" w:hAnsiTheme="minorHAnsi"/>
      <w:b/>
      <w:caps/>
      <w:smallCaps w:val="0"/>
      <w:strike w:val="0"/>
      <w:dstrike w:val="0"/>
      <w:vanish w:val="0"/>
      <w:color w:val="003A69" w:themeColor="accent6" w:themeShade="BF"/>
      <w:spacing w:val="20"/>
      <w:sz w:val="28"/>
      <w:vertAlign w:val="baseline"/>
    </w:rPr>
  </w:style>
  <w:style w:type="paragraph" w:styleId="NormalWeb">
    <w:name w:val="Normal (Web)"/>
    <w:basedOn w:val="Normal"/>
    <w:uiPriority w:val="99"/>
    <w:unhideWhenUsed/>
    <w:locked/>
    <w:rsid w:val="0019411C"/>
    <w:pPr>
      <w:spacing w:before="100" w:beforeAutospacing="1" w:after="100" w:afterAutospacing="1"/>
    </w:pPr>
    <w:rPr>
      <w:rFonts w:asciiTheme="minorHAnsi" w:hAnsiTheme="minorHAnsi" w:cs="Times New Roman"/>
      <w:szCs w:val="24"/>
    </w:rPr>
  </w:style>
  <w:style w:type="paragraph" w:customStyle="1" w:styleId="Default">
    <w:name w:val="Default"/>
    <w:rsid w:val="00EC1BBE"/>
    <w:pPr>
      <w:autoSpaceDE w:val="0"/>
      <w:autoSpaceDN w:val="0"/>
      <w:adjustRightInd w:val="0"/>
      <w:spacing w:before="0" w:after="0"/>
    </w:pPr>
    <w:rPr>
      <w:rFonts w:ascii="Segoe UI" w:eastAsiaTheme="minorHAns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49150183">
      <w:bodyDiv w:val="1"/>
      <w:marLeft w:val="0"/>
      <w:marRight w:val="0"/>
      <w:marTop w:val="0"/>
      <w:marBottom w:val="0"/>
      <w:divBdr>
        <w:top w:val="none" w:sz="0" w:space="0" w:color="auto"/>
        <w:left w:val="none" w:sz="0" w:space="0" w:color="auto"/>
        <w:bottom w:val="none" w:sz="0" w:space="0" w:color="auto"/>
        <w:right w:val="none" w:sz="0" w:space="0" w:color="auto"/>
      </w:divBdr>
    </w:div>
    <w:div w:id="969939451">
      <w:bodyDiv w:val="1"/>
      <w:marLeft w:val="0"/>
      <w:marRight w:val="0"/>
      <w:marTop w:val="0"/>
      <w:marBottom w:val="0"/>
      <w:divBdr>
        <w:top w:val="none" w:sz="0" w:space="0" w:color="auto"/>
        <w:left w:val="none" w:sz="0" w:space="0" w:color="auto"/>
        <w:bottom w:val="none" w:sz="0" w:space="0" w:color="auto"/>
        <w:right w:val="none" w:sz="0" w:space="0" w:color="auto"/>
      </w:divBdr>
    </w:div>
    <w:div w:id="1057315776">
      <w:bodyDiv w:val="1"/>
      <w:marLeft w:val="0"/>
      <w:marRight w:val="0"/>
      <w:marTop w:val="0"/>
      <w:marBottom w:val="0"/>
      <w:divBdr>
        <w:top w:val="none" w:sz="0" w:space="0" w:color="auto"/>
        <w:left w:val="none" w:sz="0" w:space="0" w:color="auto"/>
        <w:bottom w:val="none" w:sz="0" w:space="0" w:color="auto"/>
        <w:right w:val="none" w:sz="0" w:space="0" w:color="auto"/>
      </w:divBdr>
    </w:div>
    <w:div w:id="1069771870">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460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p/han/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c01.safelinks.protection.outlook.com/?url=https%3A%2F%2Fwww.cdc.gov%2Fhepatitis%2Foutbreaks%2F2017March-HepatitisA.htm&amp;data=02%7C01%7Ctoby.mcadams%40state.mn.us%7Cb01776aef1b34c65eafc08d6dd23026d%7Ceb14b04624c445198f26b89c2159828c%7C0%7C0%7C636939539769139090&amp;sdata=4Fa4ZZME3cbJ%2BSGaaYCKHL1KNeORMY8BuDYxOklq8pY%3D&amp;reserved=0" TargetMode="External"/><Relationship Id="rId4" Type="http://schemas.openxmlformats.org/officeDocument/2006/relationships/settings" Target="settings.xml"/><Relationship Id="rId9" Type="http://schemas.openxmlformats.org/officeDocument/2006/relationships/hyperlink" Target="https://www.health.state.mn.us/diseases/hepatitis/a/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1CF45908-70C1-4DC1-AC96-3CFAC9B6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Column.dotx</Template>
  <TotalTime>13</TotalTime>
  <Pages>2</Pages>
  <Words>452</Words>
  <Characters>3296</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Health Advisory: National Hepatitis A Outbreaks</vt:lpstr>
    </vt:vector>
  </TitlesOfParts>
  <Company>Minnesota Department of Health</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National Hepatitis A Outbreaks</dc:title>
  <dc:subject/>
  <dc:creator/>
  <cp:keywords/>
  <dc:description/>
  <cp:lastModifiedBy>McAdams, Toby (MDH)</cp:lastModifiedBy>
  <cp:revision>6</cp:revision>
  <cp:lastPrinted>2016-12-14T18:03:00Z</cp:lastPrinted>
  <dcterms:created xsi:type="dcterms:W3CDTF">2019-05-20T12:54:00Z</dcterms:created>
  <dcterms:modified xsi:type="dcterms:W3CDTF">2019-05-20T14:58:00Z</dcterms:modified>
</cp:coreProperties>
</file>